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11137-2025-SA-SA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广东润恒科技有限公司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广东省湛江市坡头区龙头镇兴业路601号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广东省湛江市坡头区龙头镇兴业路601号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FW:包装装潢印刷品印刷(资质许可范围内)的售后服务（技术支持、配送、投诉处理）（五星级）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9609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830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