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11013-2025-SA-SA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河北天扩实业集团有限公司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河北省石家庄市藁城区常安镇大常安村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河北省石家庄市藁城区常安镇大常安村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安全工器具、消防器材、金属工具柜、绝缘制品、标志标牌、防鸟设备、应急抢险舟船、防汛抗旱器材、针纺织品、救生器材、跌落式熔断器、氧化锌避雷器、复合绝缘子、隔离开关、电子产品、五金产品、水泥制品、防汛防水设备及器材、吸水膨胀袋、电线电缆、仪器仪表、应急救援设备、地下井防护装置、应急照明灯、自吸水泵机组、安全防护用品、劳保产品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930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76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