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11009-2025-QEO-E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石家庄市利民预制构件有限公司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石家庄市正定新区西上泽社区诚峰热电厂对过</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石家庄市正定新区西上泽社区诚峰热电厂对过</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E:资质范围内预拌混凝土的生产所涉及场所的相关环境管理活动</w:t>
            </w:r>
          </w:p>
          <w:p>
            <w:pPr>
              <w:rPr>
                <w:rFonts w:hint="eastAsia"/>
                <w:szCs w:val="21"/>
              </w:rPr>
            </w:pPr>
            <w:r>
              <w:rPr>
                <w:rFonts w:hint="eastAsia"/>
                <w:szCs w:val="21"/>
              </w:rPr>
              <w:t>Q:资质范围内预拌混凝土的生产</w:t>
            </w:r>
          </w:p>
          <w:p>
            <w:pPr>
              <w:rPr>
                <w:rFonts w:hint="eastAsia"/>
                <w:szCs w:val="21"/>
              </w:rPr>
            </w:pPr>
            <w:r>
              <w:rPr>
                <w:rFonts w:hint="eastAsia"/>
                <w:szCs w:val="21"/>
              </w:rPr>
              <w:t>S:资质范围内预拌混凝土的生产所涉及场所的相关职业健康安全管理活动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725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8523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