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烟台诚高汽车配件有限公司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芝罘区只楚宫家岛北街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烟台市芝罘区只楚宫家岛北街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Q:汽车金属配件加工（需资质许可除外）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6679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1346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