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10641-2025-SB-SB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沈阳普菲诗诺家具制造有限公司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辽宁省沈阳市沈北新区沈北路9号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辽宁省沈阳市新民市法哈牛镇兴隆桥村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SB:二阶段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SB:品牌名： 稚子花开 品牌使用范围：钢木家具、金属家具、木制家具的品牌认证（五星级）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闫宇侠、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2025-05-30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41351957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841601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