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20365-2024-MMS_18552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江苏华鹏变压器有限公司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溧阳市昆仑开发区正昌路68号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溧阳市昆仑开发区正昌路68号，溧阳市经济开发区腾飞路11号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MMS:：35kV-850kV液浸式变压器、10kV-35kV液浸式变压器、10kV-35kV箱式变压器、10kV-110kV干式变压器以及各种特种变压器的生产、销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8905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6154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