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0462-2021-MMS_9161</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南沣环境科技(杭州)有限公司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浙江省杭州市临平区临平街道南公河路9号2幢1层</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浙江省杭州市临平区临平街道南公河路9号2、4幢</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MMS:监督4</w:t>
            </w:r>
            <w:r>
              <w:rPr>
                <w:rFonts w:hint="eastAsia"/>
                <w:sz w:val="28"/>
                <w:szCs w:val="28"/>
                <w:lang w:val="en-US" w:eastAsia="zh-CN"/>
              </w:rPr>
              <w:t xml:space="preserve">  </w:t>
            </w:r>
            <w:r>
              <w:rPr>
                <w:rFonts w:hint="eastAsia"/>
                <w:sz w:val="28"/>
                <w:szCs w:val="28"/>
              </w:rPr>
              <w:t>范围变化+地址变更</w:t>
            </w:r>
            <w:bookmarkStart w:id="4" w:name="_GoBack"/>
            <w:bookmarkEnd w:id="4"/>
            <w:r>
              <w:rPr>
                <w:rFonts w:hint="eastAsia"/>
                <w:sz w:val="28"/>
                <w:szCs w:val="28"/>
                <w:lang w:val="en-US" w:eastAsia="zh-CN"/>
              </w:rPr>
              <w:t xml:space="preserve">  暂停恢复：</w:t>
            </w:r>
            <w:r>
              <w:rPr>
                <w:rFonts w:hint="eastAsia"/>
                <w:sz w:val="28"/>
                <w:szCs w:val="28"/>
              </w:rPr>
              <w:t>是</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一体化预制泵站，一体化轴流泵站，一体化智能截流井，一体化污水处理设备，一体化医疗废水处理设备及其控制柜的设计、生产、销售及售后服务;水泵、玻璃钢简体、格栅的设计、生产(0EM)销售及售后服务;供水设备、一体化净水设备以及以上成套设备其他配件的销售及售后服务所涉及的相关测量活动。</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叶明、</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杨冰</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2025-06-10</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188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5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