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1346-2022-SE-S_13254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成都川力智能流体设备股份有限公司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四川省邛崃市临邛镇创业路7号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四川省邛崃市临邛镇创业路7号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408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103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