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泊头市银赫轨道车辆配件有限公司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2026年02月12日上午至2026年02月13日上午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陈越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00765851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