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803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江苏中泽智控科技有限公司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82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2026年01月28日上午至2026年01月28日上午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2026年01月28日上午至2026年01月28日上午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190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