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30012-2026-R04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广东新亚光电缆股份有限公司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966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