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609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嘉兴南湖宾馆有限公司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王献华、蒋建峰、林兵、周传林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960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2024-N1OHSMS-2244982</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2024-N1QMS-2244982</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2024-N1QMS-6059501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2024-N1QMS-1459792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2024-N1OHSMS-1459792</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2025年08月11日下午至2025年08月11日下午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2025年08月11日下午至2025年08月11日下午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王献华、蒋建峰、林兵、周传林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529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