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广西大也智能数据有限公司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20003-2026-QES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中国（广西）自由贸易试验区南宁片区凯旋路18号广西合景金融广场2508号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广西南宁市青秀区中山路55号金外滩商务大厦28层</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梁琚</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13978800329</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41</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474743942@qq.com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2026年01月16日 08:30至2026年01月16日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Q:大数据应用软件的技术开发</w:t>
            </w:r>
          </w:p>
          <w:p>
            <w:pPr>
              <w:tabs>
                <w:tab w:val="left" w:pos="0"/>
              </w:tabs>
              <w:jc w:val="left"/>
              <w:rPr>
                <w:rFonts w:hint="eastAsia"/>
                <w:sz w:val="21"/>
                <w:szCs w:val="21"/>
              </w:rPr>
            </w:pPr>
            <w:r>
              <w:rPr>
                <w:rFonts w:hint="eastAsia"/>
                <w:sz w:val="21"/>
                <w:szCs w:val="21"/>
              </w:rPr>
              <w:t>E:大数据应用软件的技术开发所涉及场所的相关环境管理活动</w:t>
            </w:r>
          </w:p>
          <w:p>
            <w:pPr>
              <w:tabs>
                <w:tab w:val="left" w:pos="0"/>
              </w:tabs>
              <w:jc w:val="left"/>
              <w:rPr>
                <w:rFonts w:hint="eastAsia"/>
                <w:sz w:val="21"/>
                <w:szCs w:val="21"/>
              </w:rPr>
            </w:pPr>
            <w:r>
              <w:rPr>
                <w:rFonts w:hint="eastAsia"/>
                <w:sz w:val="21"/>
                <w:szCs w:val="21"/>
              </w:rPr>
              <w:t>S:大数据应用软件的技术开发所涉及场所的相关职业健康安全管理活动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Q:33.02.01,E:33.02.01,S:33.02.01</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王邦权</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2024-N1QMS-1495970</w:t>
            </w:r>
          </w:p>
        </w:tc>
        <w:tc>
          <w:tcPr>
            <w:tcW w:w="3684" w:type="dxa"/>
            <w:gridSpan w:val="9"/>
            <w:vAlign w:val="center"/>
          </w:tcPr>
          <w:p w:rsidR="00361A17">
            <w:pPr>
              <w:jc w:val="center"/>
              <w:rPr>
                <w:sz w:val="21"/>
                <w:szCs w:val="21"/>
              </w:rPr>
            </w:pPr>
            <w:r>
              <w:t>33.02.01</w:t>
            </w:r>
          </w:p>
        </w:tc>
        <w:tc>
          <w:tcPr>
            <w:tcW w:w="1560" w:type="dxa"/>
            <w:gridSpan w:val="2"/>
            <w:vAlign w:val="center"/>
          </w:tcPr>
          <w:p w:rsidR="00361A17">
            <w:pPr>
              <w:jc w:val="center"/>
              <w:rPr>
                <w:sz w:val="21"/>
                <w:szCs w:val="21"/>
              </w:rPr>
            </w:pPr>
            <w:r>
              <w:t>13330355820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2025-N1EMS-1495970</w:t>
            </w:r>
          </w:p>
        </w:tc>
        <w:tc>
          <w:tcPr>
            <w:tcW w:w="3684" w:type="dxa"/>
            <w:gridSpan w:val="9"/>
            <w:vAlign w:val="center"/>
          </w:tcPr>
          <w:p>
            <w:pPr>
              <w:jc w:val="center"/>
            </w:pPr>
            <w:r>
              <w:t>33.02.01</w:t>
            </w:r>
          </w:p>
        </w:tc>
        <w:tc>
          <w:tcPr>
            <w:tcW w:w="1560" w:type="dxa"/>
            <w:gridSpan w:val="2"/>
            <w:vAlign w:val="center"/>
          </w:tcPr>
          <w:p>
            <w:pPr>
              <w:jc w:val="center"/>
            </w:pPr>
            <w:r>
              <w:t>13330355820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2024-N1OHSMS-1495970</w:t>
            </w:r>
          </w:p>
        </w:tc>
        <w:tc>
          <w:tcPr>
            <w:tcW w:w="3684" w:type="dxa"/>
            <w:gridSpan w:val="9"/>
            <w:vAlign w:val="center"/>
          </w:tcPr>
          <w:p>
            <w:pPr>
              <w:jc w:val="center"/>
            </w:pPr>
            <w:r>
              <w:t>33.02.01</w:t>
            </w:r>
          </w:p>
        </w:tc>
        <w:tc>
          <w:tcPr>
            <w:tcW w:w="1560" w:type="dxa"/>
            <w:gridSpan w:val="2"/>
            <w:vAlign w:val="center"/>
          </w:tcPr>
          <w:p>
            <w:pPr>
              <w:jc w:val="center"/>
            </w:pPr>
            <w:r>
              <w:t>13330355820</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2026年01月13</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7430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王邦权</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342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