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5049291"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幸汇云峰大数据发展有限公司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质量管理体系、环境管理体系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贾海平</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贾海平</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8858607"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贾海平</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2024-N1EMS-1287023</w:t>
            </w:r>
          </w:p>
        </w:tc>
        <w:tc>
          <w:tcPr>
            <w:tcW w:w="3145" w:type="dxa"/>
            <w:vAlign w:val="center"/>
          </w:tcPr>
          <w:p w14:paraId="0AF64EA2">
            <w:pPr>
              <w:spacing w:line="360" w:lineRule="auto"/>
              <w:jc w:val="left"/>
              <w:rPr>
                <w:rFonts w:asciiTheme="minorEastAsia" w:eastAsiaTheme="minorEastAsia" w:hAnsiTheme="minorEastAsia"/>
                <w:szCs w:val="21"/>
              </w:rPr>
            </w:pPr>
            <w:r>
              <w:t>31.17.00,33.02.04,33.03.01</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r>
              <w:t>贾海平</w:t>
            </w:r>
          </w:p>
        </w:tc>
        <w:tc>
          <w:tcPr>
            <w:tcW w:w="1051" w:type="dxa"/>
            <w:vAlign w:val="center"/>
          </w:tcPr>
          <w:p w14:paraId="7EC46543">
            <w:pPr>
              <w:spacing w:line="360" w:lineRule="auto"/>
              <w:jc w:val="left"/>
              <w:rPr>
                <w:rFonts w:asciiTheme="minorEastAsia" w:eastAsiaTheme="minorEastAsia" w:hAnsiTheme="minorEastAsia"/>
              </w:rPr>
            </w:pPr>
            <w:r>
              <w:t>组长</w:t>
            </w:r>
          </w:p>
        </w:tc>
        <w:tc>
          <w:tcPr>
            <w:tcW w:w="1466" w:type="dxa"/>
            <w:vAlign w:val="center"/>
          </w:tcPr>
          <w:p w14:paraId="285054FC">
            <w:pPr>
              <w:spacing w:line="360" w:lineRule="auto"/>
              <w:jc w:val="left"/>
              <w:rPr>
                <w:rFonts w:asciiTheme="minorEastAsia" w:eastAsiaTheme="minorEastAsia" w:hAnsiTheme="minorEastAsia"/>
              </w:rPr>
            </w:pPr>
            <w:r>
              <w:t>审核员</w:t>
            </w:r>
          </w:p>
        </w:tc>
        <w:tc>
          <w:tcPr>
            <w:tcW w:w="2268" w:type="dxa"/>
            <w:vAlign w:val="center"/>
          </w:tcPr>
          <w:p w14:paraId="636EA2FE">
            <w:pPr>
              <w:spacing w:line="360" w:lineRule="auto"/>
              <w:jc w:val="left"/>
              <w:rPr>
                <w:rFonts w:asciiTheme="minorEastAsia" w:eastAsiaTheme="minorEastAsia" w:hAnsiTheme="minorEastAsia"/>
              </w:rPr>
            </w:pPr>
            <w:r>
              <w:t>2024-N1QMS-1287023</w:t>
            </w:r>
          </w:p>
        </w:tc>
        <w:tc>
          <w:tcPr>
            <w:tcW w:w="3145" w:type="dxa"/>
            <w:vAlign w:val="center"/>
          </w:tcPr>
          <w:p w14:paraId="428F7A98">
            <w:pPr>
              <w:spacing w:line="360" w:lineRule="auto"/>
              <w:jc w:val="left"/>
              <w:rPr>
                <w:rFonts w:asciiTheme="minorEastAsia" w:eastAsiaTheme="minorEastAsia" w:hAnsiTheme="minorEastAsia"/>
              </w:rPr>
            </w:pPr>
            <w:r>
              <w:t>31.17.00,33.02.04,33.03.01</w:t>
            </w: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p>
        </w:tc>
        <w:tc>
          <w:tcPr>
            <w:tcW w:w="1051" w:type="dxa"/>
            <w:vAlign w:val="center"/>
          </w:tcPr>
          <w:p w14:paraId="54B56693">
            <w:pPr>
              <w:spacing w:line="360" w:lineRule="auto"/>
              <w:jc w:val="left"/>
              <w:rPr>
                <w:rFonts w:asciiTheme="minorEastAsia" w:eastAsiaTheme="minorEastAsia" w:hAnsiTheme="minorEastAsia"/>
              </w:rPr>
            </w:pPr>
          </w:p>
        </w:tc>
        <w:tc>
          <w:tcPr>
            <w:tcW w:w="1466" w:type="dxa"/>
            <w:vAlign w:val="center"/>
          </w:tcPr>
          <w:p w14:paraId="51DB799B">
            <w:pPr>
              <w:spacing w:line="360" w:lineRule="auto"/>
              <w:jc w:val="left"/>
              <w:rPr>
                <w:rFonts w:asciiTheme="minorEastAsia" w:eastAsiaTheme="minorEastAsia" w:hAnsiTheme="minorEastAsia"/>
              </w:rPr>
            </w:pPr>
          </w:p>
        </w:tc>
        <w:tc>
          <w:tcPr>
            <w:tcW w:w="2268" w:type="dxa"/>
            <w:vAlign w:val="center"/>
          </w:tcPr>
          <w:p w14:paraId="54C7E38B">
            <w:pPr>
              <w:spacing w:line="360" w:lineRule="auto"/>
              <w:jc w:val="left"/>
              <w:rPr>
                <w:rFonts w:asciiTheme="minorEastAsia" w:eastAsiaTheme="minorEastAsia" w:hAnsiTheme="minorEastAsia"/>
              </w:rPr>
            </w:pPr>
          </w:p>
        </w:tc>
        <w:tc>
          <w:tcPr>
            <w:tcW w:w="3145" w:type="dxa"/>
            <w:vAlign w:val="center"/>
          </w:tcPr>
          <w:p w14:paraId="591646C4">
            <w:pPr>
              <w:spacing w:line="360" w:lineRule="auto"/>
              <w:jc w:val="left"/>
              <w:rPr>
                <w:rFonts w:asciiTheme="minorEastAsia" w:eastAsiaTheme="minorEastAsia" w:hAnsiTheme="minorEastAsia"/>
              </w:rPr>
            </w:pP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质量管理体系、环境管理体系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GB/T19001-2016/ISO9001:2015、GB/T 24001-2016/ISO14001:2015</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2025年07月29日上午至2025年07月30日下午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2025年07月29日上午至2025年07月30日下午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贾海平</w:t>
      </w:r>
      <w:r>
        <w:rPr>
          <w:rFonts w:hint="eastAsia"/>
          <w:b/>
          <w:color w:val="auto"/>
          <w:kern w:val="2"/>
          <w:sz w:val="21"/>
          <w:lang w:val="en-GB"/>
        </w:rPr>
        <w:t xml:space="preserve">  </w:t>
      </w:r>
      <w:r>
        <w:rPr>
          <w:rFonts w:hint="eastAsia"/>
          <w:b/>
          <w:color w:val="auto"/>
          <w:kern w:val="2"/>
          <w:sz w:val="21"/>
          <w:lang w:val="en-GB"/>
        </w:rPr>
        <w:t>贾海平</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2543984"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