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广州得泰仪器科技有限公司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罗洁萍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19866939081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jpluo@detelogy.com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E:19.05.01,33.02.01,Q:19.05.01,33.02.01,O:19.05.01,33.02.01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750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69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