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北京正方康特信息技术有限公司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21105-2025-QEO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09:00至2025年08月06日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263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