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662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大连鹏鸿木业集团有限公司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孙倩、裴正</w:t>
            </w:r>
            <w:r>
              <w:rPr>
                <w:rFonts w:hint="eastAsia"/>
              </w:rPr>
              <w:t xml:space="preserve"> </w:t>
            </w:r>
            <w:r>
              <w:rPr>
                <w:rFonts w:hint="eastAsia"/>
              </w:rPr>
              <w:t>裴正</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861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2025-N1QMS-2267703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孙倩</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2025-N1EMS-2267703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裴正</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211404198701233434</w:t>
            </w:r>
          </w:p>
        </w:tc>
        <w:tc>
          <w:tcPr>
            <w:tcW w:w="3145" w:type="dxa"/>
            <w:vAlign w:val="center"/>
          </w:tcPr>
          <w:p w14:paraId="591646C4">
            <w:pPr>
              <w:spacing w:line="360" w:lineRule="auto"/>
              <w:jc w:val="left"/>
              <w:rPr>
                <w:rFonts w:asciiTheme="minorEastAsia" w:eastAsiaTheme="minorEastAsia" w:hAnsiTheme="minorEastAsia"/>
              </w:rPr>
            </w:pPr>
            <w:r>
              <w:t>06.02.01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裴正</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211404198701233434</w:t>
            </w:r>
          </w:p>
        </w:tc>
        <w:tc>
          <w:tcPr>
            <w:tcW w:w="3145" w:type="dxa"/>
            <w:vAlign w:val="center"/>
          </w:tcPr>
          <w:p>
            <w:pPr>
              <w:jc w:val="left"/>
            </w:pPr>
            <w:r>
              <w:t>06.02.01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孙倩、裴正</w:t>
      </w:r>
      <w:r>
        <w:rPr>
          <w:rFonts w:hint="eastAsia"/>
          <w:b/>
          <w:color w:val="auto"/>
          <w:kern w:val="2"/>
          <w:sz w:val="21"/>
          <w:lang w:val="en-GB"/>
        </w:rPr>
        <w:t xml:space="preserve"> </w:t>
      </w:r>
      <w:r>
        <w:rPr>
          <w:rFonts w:hint="eastAsia"/>
          <w:b/>
          <w:color w:val="auto"/>
          <w:kern w:val="2"/>
          <w:sz w:val="21"/>
          <w:lang w:val="en-GB"/>
        </w:rPr>
        <w:t>裴正</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349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