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大连鹏鸿木业集团有限公司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11085-2025-QE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辽宁省大连市金州区拥政街道红塔村丘号34-312-7号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辽宁省大连市金州区拥政街道红塔村丘号34-312-7号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赵晓涛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13942812390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08:00至2025年08月29日 16:30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Q:细木工板、胶合板、浸渍胶膜纸饰面胶合板和细木工板的生产(有行政许可要求，按行政许可范围)</w:t>
            </w:r>
          </w:p>
          <w:p w14:paraId="20E1E49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E:细木工板、胶合板、浸渍胶膜纸饰面胶合板和细木工板的生产(有行政许可要求，按行政许可范围)所涉及场所的相关环境管理活动</w:t>
            </w:r>
          </w:p>
          <w:p w14:paraId="52F5482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Q:06.02.01,E:06.02.01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51477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13BDE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FBAE0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B08D82"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74BE369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EC846C">
            <w:pPr>
              <w:jc w:val="both"/>
            </w:pPr>
            <w:r>
              <w:t>2025-N1EMS-2267703</w:t>
            </w:r>
          </w:p>
        </w:tc>
        <w:tc>
          <w:tcPr>
            <w:tcW w:w="3684" w:type="dxa"/>
            <w:gridSpan w:val="9"/>
            <w:vAlign w:val="center"/>
          </w:tcPr>
          <w:p w14:paraId="72A2083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8CC3B87">
            <w:pPr>
              <w:jc w:val="center"/>
            </w:pPr>
            <w:r>
              <w:t>13604084892</w:t>
            </w:r>
          </w:p>
        </w:tc>
      </w:tr>
      <w:tr w14:paraId="36F87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6D244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ADB87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03A747">
            <w:pPr>
              <w:jc w:val="center"/>
            </w:pPr>
            <w:r>
              <w:t>裴正</w:t>
            </w:r>
          </w:p>
        </w:tc>
        <w:tc>
          <w:tcPr>
            <w:tcW w:w="850" w:type="dxa"/>
            <w:vAlign w:val="center"/>
          </w:tcPr>
          <w:p w14:paraId="4CAAF96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64E578">
            <w:pPr>
              <w:jc w:val="both"/>
            </w:pPr>
            <w:r>
              <w:t>211404198701233434</w:t>
            </w:r>
          </w:p>
        </w:tc>
        <w:tc>
          <w:tcPr>
            <w:tcW w:w="3684" w:type="dxa"/>
            <w:gridSpan w:val="9"/>
            <w:vAlign w:val="center"/>
          </w:tcPr>
          <w:p w14:paraId="16D20CC9">
            <w:pPr>
              <w:jc w:val="center"/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 w14:paraId="151EA0BE">
            <w:pPr>
              <w:jc w:val="center"/>
            </w:pPr>
            <w:r>
              <w:t>15919870149</w:t>
            </w:r>
          </w:p>
        </w:tc>
      </w:tr>
      <w:tr w14:paraId="3593A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B6C04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45329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E98761">
            <w:pPr>
              <w:jc w:val="center"/>
            </w:pPr>
            <w:r>
              <w:t>裴正</w:t>
            </w:r>
          </w:p>
        </w:tc>
        <w:tc>
          <w:tcPr>
            <w:tcW w:w="850" w:type="dxa"/>
            <w:vAlign w:val="center"/>
          </w:tcPr>
          <w:p w14:paraId="4E1C7D7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8E6913">
            <w:pPr>
              <w:jc w:val="both"/>
            </w:pPr>
            <w:r>
              <w:t>211404198701233434</w:t>
            </w:r>
          </w:p>
        </w:tc>
        <w:tc>
          <w:tcPr>
            <w:tcW w:w="3684" w:type="dxa"/>
            <w:gridSpan w:val="9"/>
            <w:vAlign w:val="center"/>
          </w:tcPr>
          <w:p w14:paraId="101346C6">
            <w:pPr>
              <w:jc w:val="center"/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 w14:paraId="43C95E89">
            <w:pPr>
              <w:jc w:val="center"/>
            </w:pPr>
            <w:r>
              <w:t>15919870149</w:t>
            </w:r>
          </w:p>
        </w:tc>
      </w:tr>
      <w:tr w14:paraId="66B46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93428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DCBF5AD">
            <w:pPr>
              <w:jc w:val="center"/>
              <w:rPr>
                <w:rFonts w:hint="default"/>
                <w:lang w:val="en-US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裴正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工作单位：吉林鹏鸿科技智能家居有限公司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孙倩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BE65E8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1545</Characters>
  <Lines>11</Lines>
  <Paragraphs>3</Paragraphs>
  <TotalTime>2</TotalTime>
  <ScaleCrop>false</ScaleCrop>
  <LinksUpToDate>false</LinksUpToDate>
  <CharactersWithSpaces>1584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2025-08-26T06:55:06Z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