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51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北京中宇博海科技有限责任公司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于立秋、田雅琼</w:t>
            </w:r>
            <w:r>
              <w:rPr>
                <w:rFonts w:hint="eastAsia"/>
              </w:rPr>
              <w:t xml:space="preserve"> </w:t>
            </w:r>
            <w:r>
              <w:rPr>
                <w:rFonts w:hint="eastAsia"/>
              </w:rPr>
              <w:t>田雅琼</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27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2024-N1OHSMS-4084028</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2024-N1EMS-6084028</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田雅琼</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120109198412246020</w:t>
            </w:r>
          </w:p>
        </w:tc>
        <w:tc>
          <w:tcPr>
            <w:tcW w:w="3145" w:type="dxa"/>
            <w:vAlign w:val="center"/>
          </w:tcPr>
          <w:p w14:paraId="591646C4">
            <w:pPr>
              <w:spacing w:line="360" w:lineRule="auto"/>
              <w:jc w:val="left"/>
              <w:rPr>
                <w:rFonts w:asciiTheme="minorEastAsia" w:eastAsiaTheme="minorEastAsia" w:hAnsiTheme="minorEastAsia"/>
              </w:rPr>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田雅琼</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120109198412246020</w:t>
            </w:r>
          </w:p>
        </w:tc>
        <w:tc>
          <w:tcPr>
            <w:tcW w:w="3145" w:type="dxa"/>
            <w:vAlign w:val="center"/>
          </w:tcPr>
          <w:p>
            <w:pPr>
              <w:jc w:val="left"/>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于立秋、田雅琼</w:t>
      </w:r>
      <w:r>
        <w:rPr>
          <w:rFonts w:hint="eastAsia"/>
          <w:b/>
          <w:color w:val="auto"/>
          <w:kern w:val="2"/>
          <w:sz w:val="21"/>
          <w:lang w:val="en-GB"/>
        </w:rPr>
        <w:t xml:space="preserve"> </w:t>
      </w:r>
      <w:r>
        <w:rPr>
          <w:rFonts w:hint="eastAsia"/>
          <w:b/>
          <w:color w:val="auto"/>
          <w:kern w:val="2"/>
          <w:sz w:val="21"/>
          <w:lang w:val="en-GB"/>
        </w:rPr>
        <w:t>田雅琼</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13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