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8E01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FC4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EF3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92A09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烟台乐萃唯生物科技有限公司</w:t>
            </w:r>
          </w:p>
        </w:tc>
        <w:tc>
          <w:tcPr>
            <w:tcW w:w="1134" w:type="dxa"/>
            <w:vAlign w:val="center"/>
          </w:tcPr>
          <w:p w14:paraId="78216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935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10666-2025-QF</w:t>
            </w:r>
          </w:p>
        </w:tc>
      </w:tr>
      <w:tr w14:paraId="188EB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0D0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773BB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烟台市莱山区兴龙路29号1号楼（2#厂房）</w:t>
            </w:r>
          </w:p>
        </w:tc>
      </w:tr>
      <w:tr w14:paraId="44F07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E1A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B708E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烟台市莱山区兴龙路29号1号楼（2#厂房）</w:t>
            </w:r>
          </w:p>
          <w:p w14:paraId="5F7B7D03"/>
        </w:tc>
      </w:tr>
      <w:tr w14:paraId="3C9E8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945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46C83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王利锋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AB7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CA8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17616188532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BA37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9F441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B5F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5F72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FC1E4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1CC0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EED6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DA48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85983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0E24C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C60E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99714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Natrivo@163.com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5CDCA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7B07FB">
            <w:pPr>
              <w:rPr>
                <w:sz w:val="21"/>
                <w:szCs w:val="21"/>
              </w:rPr>
            </w:pPr>
          </w:p>
        </w:tc>
      </w:tr>
      <w:tr w14:paraId="1237E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CEF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14779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08:30至2025年06月13日 12:00</w:t>
            </w:r>
          </w:p>
        </w:tc>
        <w:tc>
          <w:tcPr>
            <w:tcW w:w="1457" w:type="dxa"/>
            <w:gridSpan w:val="5"/>
            <w:vAlign w:val="center"/>
          </w:tcPr>
          <w:p w14:paraId="0C631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05AEB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1FCD4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06FD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A5D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2C7EE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07EA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62427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BB77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79C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2AFD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9BA33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1B1A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0EAB0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AF5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FFE6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E07CF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质量管理体系、食品安全管理体系</w:t>
            </w:r>
          </w:p>
        </w:tc>
      </w:tr>
      <w:tr w14:paraId="0D265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0AA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E527B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B98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A1F5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CBE88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GB/T19001-2016/ISO9001:2015、ISO 22000:2018</w:t>
            </w:r>
          </w:p>
        </w:tc>
      </w:tr>
      <w:tr w14:paraId="757DE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B05F4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DE1B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8AD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C02A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7506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F1B21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C5A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35C4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9AAC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食品生产许可范围内的</w:t>
            </w:r>
            <w:r>
              <w:rPr>
                <w:rFonts w:hint="eastAsia"/>
                <w:sz w:val="21"/>
                <w:szCs w:val="21"/>
              </w:rPr>
              <w:t>复配食品添加剂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复配增稠剂、复配增稠稳定剂、复配乳化增稠剂）的生产</w:t>
            </w:r>
          </w:p>
          <w:p w14:paraId="0D3E38D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位于</w:t>
            </w:r>
            <w:r>
              <w:rPr>
                <w:rFonts w:hint="eastAsia"/>
                <w:sz w:val="21"/>
                <w:szCs w:val="21"/>
              </w:rPr>
              <w:t>烟台市莱山区兴龙路29号1号楼（2#厂房）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烟台乐萃唯生物科技有限公司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的食品生产许可范围内</w:t>
            </w:r>
            <w:r>
              <w:rPr>
                <w:rFonts w:hint="eastAsia"/>
                <w:sz w:val="21"/>
                <w:szCs w:val="21"/>
              </w:rPr>
              <w:t>复配食品添加剂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复配增稠剂、复配增稠稳定剂、复配乳化增稠剂）</w:t>
            </w:r>
            <w:r>
              <w:rPr>
                <w:rFonts w:hint="eastAsia"/>
                <w:sz w:val="21"/>
                <w:szCs w:val="21"/>
              </w:rPr>
              <w:t>的生产</w:t>
            </w:r>
            <w:bookmarkStart w:id="12" w:name="_GoBack"/>
            <w:bookmarkEnd w:id="12"/>
          </w:p>
          <w:p w14:paraId="780FFF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FE7C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AFDA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028C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Q:03.08.07,F:K-1 </w:t>
            </w:r>
          </w:p>
        </w:tc>
        <w:tc>
          <w:tcPr>
            <w:tcW w:w="1275" w:type="dxa"/>
            <w:gridSpan w:val="3"/>
            <w:vAlign w:val="center"/>
          </w:tcPr>
          <w:p w14:paraId="38DE24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EAE5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EC82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1A22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848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5FB7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02E0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E0A8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BD5D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305E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CD9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C32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3E5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B4326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84BF3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2B1125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13F08DF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CD223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 w14:paraId="72A00317">
            <w:pPr>
              <w:jc w:val="center"/>
              <w:rPr>
                <w:sz w:val="21"/>
                <w:szCs w:val="21"/>
              </w:rPr>
            </w:pPr>
            <w:r>
              <w:t>03.08.07</w:t>
            </w:r>
          </w:p>
        </w:tc>
        <w:tc>
          <w:tcPr>
            <w:tcW w:w="1560" w:type="dxa"/>
            <w:gridSpan w:val="2"/>
            <w:vAlign w:val="center"/>
          </w:tcPr>
          <w:p w14:paraId="42E863BC">
            <w:pPr>
              <w:jc w:val="center"/>
              <w:rPr>
                <w:sz w:val="21"/>
                <w:szCs w:val="21"/>
              </w:rPr>
            </w:pPr>
            <w:r>
              <w:t>15081163566</w:t>
            </w:r>
          </w:p>
        </w:tc>
      </w:tr>
      <w:tr w14:paraId="7136B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59E6B2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98F2C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49FB8E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6D10695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253D3F">
            <w:pPr>
              <w:jc w:val="both"/>
            </w:pPr>
            <w:r>
              <w:t>2022-N1FSMS-1022868</w:t>
            </w:r>
          </w:p>
        </w:tc>
        <w:tc>
          <w:tcPr>
            <w:tcW w:w="3684" w:type="dxa"/>
            <w:gridSpan w:val="9"/>
            <w:vAlign w:val="center"/>
          </w:tcPr>
          <w:p w14:paraId="4489EA5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682E638">
            <w:pPr>
              <w:jc w:val="center"/>
            </w:pPr>
            <w:r>
              <w:t>15081163566</w:t>
            </w:r>
          </w:p>
        </w:tc>
      </w:tr>
      <w:tr w14:paraId="1B26A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00015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967CE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9A7269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3C01CD4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AF09B7"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 w14:paraId="1C88377A">
            <w:pPr>
              <w:jc w:val="center"/>
            </w:pPr>
            <w:r>
              <w:t>03.08.07</w:t>
            </w:r>
          </w:p>
        </w:tc>
        <w:tc>
          <w:tcPr>
            <w:tcW w:w="1560" w:type="dxa"/>
            <w:gridSpan w:val="2"/>
            <w:vAlign w:val="center"/>
          </w:tcPr>
          <w:p w14:paraId="7D9DB053">
            <w:pPr>
              <w:jc w:val="center"/>
            </w:pPr>
            <w:r>
              <w:t>18462371979</w:t>
            </w:r>
          </w:p>
        </w:tc>
      </w:tr>
      <w:tr w14:paraId="4F9C7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D5D63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972C6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9797F3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35D6548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0A2DBF"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 w14:paraId="0C2F1603">
            <w:pPr>
              <w:jc w:val="center"/>
            </w:pPr>
            <w:r>
              <w:t xml:space="preserve">K-1 </w:t>
            </w:r>
          </w:p>
        </w:tc>
        <w:tc>
          <w:tcPr>
            <w:tcW w:w="1560" w:type="dxa"/>
            <w:gridSpan w:val="2"/>
            <w:vAlign w:val="center"/>
          </w:tcPr>
          <w:p w14:paraId="01BBF2D4">
            <w:pPr>
              <w:jc w:val="center"/>
            </w:pPr>
            <w:r>
              <w:t>18462371979</w:t>
            </w:r>
          </w:p>
        </w:tc>
      </w:tr>
      <w:tr w14:paraId="087BF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33CF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67719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AECF64E">
            <w:pPr>
              <w:widowControl/>
              <w:jc w:val="left"/>
              <w:rPr>
                <w:sz w:val="21"/>
                <w:szCs w:val="21"/>
              </w:rPr>
            </w:pPr>
          </w:p>
          <w:p w14:paraId="5DA844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0BEF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3C566D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20360A">
            <w:pPr>
              <w:rPr>
                <w:sz w:val="21"/>
                <w:szCs w:val="21"/>
              </w:rPr>
            </w:pPr>
          </w:p>
          <w:p w14:paraId="66B8497F">
            <w:pPr>
              <w:rPr>
                <w:sz w:val="21"/>
                <w:szCs w:val="21"/>
              </w:rPr>
            </w:pPr>
          </w:p>
          <w:p w14:paraId="0C2C0D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4EDE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D598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614E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6B5C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0CDB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1F6C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BC784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31664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DA09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D13E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C288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7A1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FDBB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C593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1DB2F9">
      <w:pPr>
        <w:pStyle w:val="2"/>
      </w:pPr>
    </w:p>
    <w:p w14:paraId="4176E3AA">
      <w:pPr>
        <w:pStyle w:val="2"/>
      </w:pPr>
    </w:p>
    <w:p w14:paraId="7438D44B">
      <w:pPr>
        <w:pStyle w:val="2"/>
      </w:pPr>
    </w:p>
    <w:p w14:paraId="476383C4">
      <w:pPr>
        <w:pStyle w:val="2"/>
      </w:pPr>
    </w:p>
    <w:p w14:paraId="40A37581">
      <w:pPr>
        <w:pStyle w:val="2"/>
      </w:pPr>
    </w:p>
    <w:p w14:paraId="00D5534D">
      <w:pPr>
        <w:pStyle w:val="2"/>
      </w:pPr>
    </w:p>
    <w:p w14:paraId="7C2B8902">
      <w:pPr>
        <w:pStyle w:val="2"/>
      </w:pPr>
    </w:p>
    <w:p w14:paraId="08224062">
      <w:pPr>
        <w:pStyle w:val="2"/>
      </w:pPr>
    </w:p>
    <w:p w14:paraId="00D112A3">
      <w:pPr>
        <w:pStyle w:val="2"/>
      </w:pPr>
    </w:p>
    <w:p w14:paraId="4F66F8D5">
      <w:pPr>
        <w:pStyle w:val="2"/>
      </w:pPr>
    </w:p>
    <w:p w14:paraId="2A3E2CAD">
      <w:pPr>
        <w:pStyle w:val="2"/>
      </w:pPr>
    </w:p>
    <w:p w14:paraId="06CF4505">
      <w:pPr>
        <w:pStyle w:val="2"/>
      </w:pPr>
    </w:p>
    <w:p w14:paraId="08A241E2">
      <w:pPr>
        <w:pStyle w:val="2"/>
      </w:pPr>
    </w:p>
    <w:p w14:paraId="0DFC3336">
      <w:pPr>
        <w:pStyle w:val="2"/>
      </w:pPr>
    </w:p>
    <w:p w14:paraId="2C9E45A9">
      <w:pPr>
        <w:pStyle w:val="2"/>
      </w:pPr>
    </w:p>
    <w:p w14:paraId="4A1A650B">
      <w:pPr>
        <w:pStyle w:val="2"/>
      </w:pPr>
    </w:p>
    <w:p w14:paraId="0C05E4C0">
      <w:pPr>
        <w:pStyle w:val="2"/>
      </w:pPr>
    </w:p>
    <w:p w14:paraId="09CADE8D">
      <w:pPr>
        <w:pStyle w:val="2"/>
      </w:pPr>
    </w:p>
    <w:p w14:paraId="74BB6D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D8C59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81E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8CC7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E6F3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E2E7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513E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10B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24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1F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C8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FE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63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9A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20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7A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28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89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7EE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9A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B8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ECD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5D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C7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E7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6D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46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42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B1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93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4B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84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8F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0B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33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C3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7ED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A5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ADB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9A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38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E0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CD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B71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83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C0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07A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99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15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2A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08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E1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20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B77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51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50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7D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29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3C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8E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5A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E3E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80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D8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13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70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9E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7E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EB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42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F5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AE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B8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B2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B6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9E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40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DF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256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F4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BA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A9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D0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2F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F4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17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C1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D8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530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83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74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D98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45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D2AF0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49AD3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60A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809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18F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263C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E643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0909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2444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46714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6D5D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8929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F2DD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B198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4080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1AD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C2FA4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1F57B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2FA503F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1466</Characters>
  <Lines>9</Lines>
  <Paragraphs>2</Paragraphs>
  <TotalTime>0</TotalTime>
  <ScaleCrop>false</ScaleCrop>
  <LinksUpToDate>false</LinksUpToDate>
  <CharactersWithSpaces>1511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2025-06-11T07:02:16Z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