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21200-2025-QEO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36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成都焊研威达科技股份有限公司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巫传莲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巫传莲、陈伟、刘晓珍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681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成都焊研威达科技股份有限公司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巫传莲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2025-N1EMS-1351180</w:t>
            </w:r>
          </w:p>
        </w:tc>
        <w:tc>
          <w:tcPr>
            <w:tcW w:w="3145" w:type="dxa"/>
            <w:vAlign w:val="center"/>
          </w:tcPr>
          <w:p w14:paraId="1EF07270">
            <w:pPr>
              <w:spacing w:line="360" w:lineRule="exact"/>
              <w:jc w:val="center"/>
              <w:rPr>
                <w:szCs w:val="21"/>
              </w:rPr>
            </w:pPr>
            <w:r>
              <w:t>18.02.06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巫传莲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2025-N1QMS-1351180</w:t>
            </w:r>
          </w:p>
        </w:tc>
        <w:tc>
          <w:tcPr>
            <w:tcW w:w="3145" w:type="dxa"/>
            <w:vAlign w:val="center"/>
          </w:tcPr>
          <w:p w14:paraId="0773CEA1">
            <w:pPr>
              <w:spacing w:line="360" w:lineRule="exact"/>
              <w:jc w:val="center"/>
            </w:pPr>
            <w:r>
              <w:t>18.02.06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巫传莲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2025-N1OHSMS-1351180</w:t>
            </w:r>
          </w:p>
        </w:tc>
        <w:tc>
          <w:tcPr>
            <w:tcW w:w="3145" w:type="dxa"/>
            <w:vAlign w:val="center"/>
          </w:tcPr>
          <w:p w14:paraId="7F43F701">
            <w:pPr>
              <w:spacing w:line="360" w:lineRule="exact"/>
              <w:jc w:val="center"/>
            </w:pPr>
            <w:r>
              <w:t>18.02.06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2024-N1EMS-2265256</w:t>
            </w:r>
          </w:p>
        </w:tc>
        <w:tc>
          <w:tcPr>
            <w:tcW w:w="3145" w:type="dxa"/>
            <w:vAlign w:val="center"/>
          </w:tcPr>
          <w:p>
            <w:pPr>
              <w:jc w:val="center"/>
            </w:pPr>
            <w:r>
              <w:t>19.14.00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2023-N1QMS-2265256</w:t>
            </w:r>
          </w:p>
        </w:tc>
        <w:tc>
          <w:tcPr>
            <w:tcW w:w="3145" w:type="dxa"/>
            <w:vAlign w:val="center"/>
          </w:tcPr>
          <w:p>
            <w:pPr>
              <w:jc w:val="center"/>
            </w:pPr>
            <w:r>
              <w:t>19.14.00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2024-N1OHSMS-1265256</w:t>
            </w:r>
          </w:p>
        </w:tc>
        <w:tc>
          <w:tcPr>
            <w:tcW w:w="3145" w:type="dxa"/>
            <w:vAlign w:val="center"/>
          </w:tcPr>
          <w:p>
            <w:pPr>
              <w:jc w:val="center"/>
            </w:pPr>
            <w:r>
              <w:t>19.14.00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刘晓珍</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2024-N0EMS-1366543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刘晓珍</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2024-N0QMS-1366543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刘晓珍</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2024-N0OHSMS-1366543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2025年08月21日下午至2025年08月26日下午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E:弧焊电源设备制造；重型压力容器及锅炉用焊接设备、钢结构用焊接设备、智能焊接生产线的设计开发及制造（需资质许可的凭资质经营）所涉及场所的相关环境管理活动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Q:弧焊电源设备制造；重型压力容器及锅炉用焊接设备、钢结构用焊接设备、智能焊接生产线的设计开发及制造（需资质许可的凭资质经营）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O:弧焊电源设备制造；重型压力容器及锅炉用焊接设备、钢结构用焊接设备、智能焊接生产线的设计开发及制造（需资质许可的凭资质经营）所涉及场所的相关职业健康安全管理活动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成都市青白江区华金大道一段388号</w:t>
      </w:r>
    </w:p>
    <w:p w14:paraId="5FB2C4BD">
      <w:pPr>
        <w:spacing w:line="360" w:lineRule="auto"/>
        <w:ind w:firstLine="420" w:firstLineChars="200"/>
      </w:pPr>
      <w:r>
        <w:rPr>
          <w:rFonts w:hint="eastAsia"/>
        </w:rPr>
        <w:t>办公地址：</w:t>
      </w:r>
      <w:r>
        <w:rPr>
          <w:rFonts w:hint="eastAsia"/>
        </w:rPr>
        <w:t>成都市青白江区华金大道一段388号</w:t>
      </w:r>
    </w:p>
    <w:p w14:paraId="3E2A92FF">
      <w:pPr>
        <w:spacing w:line="360" w:lineRule="auto"/>
        <w:ind w:firstLine="420" w:firstLineChars="200"/>
      </w:pPr>
      <w:r>
        <w:rPr>
          <w:rFonts w:hint="eastAsia"/>
        </w:rPr>
        <w:t>经营地址：</w:t>
      </w:r>
      <w:bookmarkStart w:id="14" w:name="生产地址"/>
      <w:bookmarkEnd w:id="14"/>
      <w:r>
        <w:rPr>
          <w:rFonts w:hint="eastAsia"/>
        </w:rPr>
        <w:t>成都市青白江区华金大道一段388号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2025年08月19日 08:30至2025年08月19日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成都焊研威达科技股份有限公司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巫传莲、陈伟、刘晓珍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39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