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38932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深圳恒石智核企业管理酒店服务有限责任公司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明利红</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明利红、林郁</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6025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明利红</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2025-N1OHSMS-4093634</w:t>
            </w:r>
          </w:p>
        </w:tc>
        <w:tc>
          <w:tcPr>
            <w:tcW w:w="3145" w:type="dxa"/>
            <w:vAlign w:val="center"/>
          </w:tcPr>
          <w:p w14:paraId="0AF64EA2">
            <w:pPr>
              <w:spacing w:line="360" w:lineRule="auto"/>
              <w:jc w:val="left"/>
              <w:rPr>
                <w:rFonts w:asciiTheme="minorEastAsia" w:eastAsiaTheme="minorEastAsia" w:hAnsiTheme="minorEastAsia"/>
                <w:szCs w:val="21"/>
              </w:rPr>
            </w:pPr>
            <w:r>
              <w:t>35.11.00,35.15.00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明利红</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2024-N1EMS-4093634</w:t>
            </w:r>
          </w:p>
        </w:tc>
        <w:tc>
          <w:tcPr>
            <w:tcW w:w="3145" w:type="dxa"/>
            <w:vAlign w:val="center"/>
          </w:tcPr>
          <w:p w14:paraId="428F7A98">
            <w:pPr>
              <w:spacing w:line="360" w:lineRule="auto"/>
              <w:jc w:val="left"/>
              <w:rPr>
                <w:rFonts w:asciiTheme="minorEastAsia" w:eastAsiaTheme="minorEastAsia" w:hAnsiTheme="minorEastAsia"/>
              </w:rPr>
            </w:pPr>
            <w:r>
              <w:t>35.11.00,35.15.00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明利红</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2023-N1QMS-4093634</w:t>
            </w:r>
          </w:p>
        </w:tc>
        <w:tc>
          <w:tcPr>
            <w:tcW w:w="3145" w:type="dxa"/>
            <w:vAlign w:val="center"/>
          </w:tcPr>
          <w:p w14:paraId="591646C4">
            <w:pPr>
              <w:spacing w:line="360" w:lineRule="auto"/>
              <w:jc w:val="left"/>
              <w:rPr>
                <w:rFonts w:asciiTheme="minorEastAsia" w:eastAsiaTheme="minorEastAsia" w:hAnsiTheme="minorEastAsia"/>
              </w:rPr>
            </w:pPr>
            <w:r>
              <w:t>35.11.00,35.15.00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林郁</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2024-N1OHSMS-1263773</w:t>
            </w:r>
          </w:p>
        </w:tc>
        <w:tc>
          <w:tcPr>
            <w:tcW w:w="3145" w:type="dxa"/>
            <w:vAlign w:val="center"/>
          </w:tcPr>
          <w:p>
            <w:pPr>
              <w:jc w:val="left"/>
            </w:pPr>
            <w:r>
              <w:t>35.11.00,35.15.00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林郁</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2022-N1EMS-1263773</w:t>
            </w:r>
          </w:p>
        </w:tc>
        <w:tc>
          <w:tcPr>
            <w:tcW w:w="3145" w:type="dxa"/>
            <w:vAlign w:val="center"/>
          </w:tcPr>
          <w:p>
            <w:pPr>
              <w:jc w:val="left"/>
            </w:pPr>
            <w:r>
              <w:t>35.11.00,35.15.00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林郁</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2023-N1QMS-1263773</w:t>
            </w:r>
          </w:p>
        </w:tc>
        <w:tc>
          <w:tcPr>
            <w:tcW w:w="3145" w:type="dxa"/>
            <w:vAlign w:val="center"/>
          </w:tcPr>
          <w:p>
            <w:pPr>
              <w:jc w:val="left"/>
            </w:pPr>
            <w:r>
              <w:t>35.11.00,35.15.00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2025年09月06日下午至2025年09月06日下午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2025年09月06日下午至2025年09月06日下午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明利红</w:t>
      </w:r>
      <w:r>
        <w:rPr>
          <w:rFonts w:hint="eastAsia"/>
          <w:b/>
          <w:color w:val="auto"/>
          <w:kern w:val="2"/>
          <w:sz w:val="21"/>
          <w:lang w:val="en-GB"/>
        </w:rPr>
        <w:t xml:space="preserve">  </w:t>
      </w:r>
      <w:r>
        <w:rPr>
          <w:rFonts w:hint="eastAsia"/>
          <w:b/>
          <w:color w:val="auto"/>
          <w:kern w:val="2"/>
          <w:sz w:val="21"/>
          <w:lang w:val="en-GB"/>
        </w:rPr>
        <w:t>明利红、林郁</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09321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