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21416-2025-EO</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宁波崇期新材料有限公司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王献华</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91330226MA2GWFLX4X</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24001-2016/ISO14001:2015、GB/T45001-2020 / ISO45001：2018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宁波崇期新材料有限公司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浙江省宁波市宁海县强蛟镇强港路11号（自主申报）</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浙江省宁波市宁海县强蛟镇强港路11号（自主申报）</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E:瓦楞纸板和瓦楞纸箱的研发、生产所涉及场所的相关环境管理活动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O:瓦楞纸板和瓦楞纸箱的研发、生产所涉及场所的相关职业健康安全管理活动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宁波崇期新材料有限公司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浙江省宁波市宁海县强蛟镇强港路11号（自主申报）</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浙江省宁波市宁海县强蛟镇强港路11号（自主申报）</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E:瓦楞纸板和瓦楞纸箱的研发、生产所涉及场所的相关环境管理活动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O:瓦楞纸板和瓦楞纸箱的研发、生产所涉及场所的相关职业健康安全管理活动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9115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