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山东安博雷顿化工科技有限公司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21451-2025-QEO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山东省德州市乐陵市铁营镇循环经济示范园内(一址多照）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山东省德州市乐陵市铁营镇循环经济示范园内办公楼三楼东侧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秦赫艺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13326302992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qhy95887@163.com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2025年10月16日 08:30至2025年10月17日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Q:高性能合成树脂（聚酰亚胺树脂、双马来酰亚胺树脂、酚醛树脂、环氧树脂、有机硅树脂）及其预浸料的销售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E:高性能合成树脂（聚酰亚胺树脂、双马来酰亚胺树脂、酚醛树脂、环氧树脂、有机硅树脂）及其预浸料的销售所涉及场所的相关环境管理活动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O:高性能合成树脂（聚酰亚胺树脂、双马来酰亚胺树脂、酚醛树脂、环氧树脂、有机硅树脂）及其预浸料的销售所涉及场所的相关职业健康安全管理活动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Q:29.11.05,E:29.11.05,O:29.11.05B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2024-N1OHSMS-3222792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13709207775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782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3680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