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3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本溪市平山区北台镇水箱修理厂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62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17.10.02,17.13.00,18.01.02,18.02.05,18.08.00,19.16.00,29.02.00,29.03.01,29.10.07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24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