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43D43AA9">
      <w:pPr>
        <w:ind w:firstLine="3360" w:firstLineChars="1200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能源绩效统计表</w:t>
      </w:r>
    </w:p>
    <w:tbl>
      <w:tblPr>
        <w:tblStyle w:val="TableNormal"/>
        <w:tblW w:w="1074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8"/>
        <w:gridCol w:w="1530"/>
        <w:gridCol w:w="1170"/>
        <w:gridCol w:w="1850"/>
        <w:gridCol w:w="340"/>
        <w:gridCol w:w="961"/>
        <w:gridCol w:w="1217"/>
        <w:gridCol w:w="2100"/>
      </w:tblGrid>
      <w:tr w14:paraId="57AEE911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/>
          <w:jc w:val="center"/>
        </w:trPr>
        <w:tc>
          <w:tcPr>
            <w:tcW w:w="10746" w:type="dxa"/>
            <w:gridSpan w:val="8"/>
            <w:shd w:val="clear" w:color="auto" w:fill="C0C0C0"/>
            <w:vAlign w:val="center"/>
          </w:tcPr>
          <w:p w14:paraId="088F855F">
            <w:pPr>
              <w:rPr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组织基本信息</w:t>
            </w:r>
          </w:p>
        </w:tc>
      </w:tr>
      <w:tr w14:paraId="4399EDFE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Align w:val="center"/>
          </w:tcPr>
          <w:p w14:paraId="43F8E5E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组织名称</w:t>
            </w:r>
          </w:p>
        </w:tc>
        <w:tc>
          <w:tcPr>
            <w:tcW w:w="9168" w:type="dxa"/>
            <w:gridSpan w:val="7"/>
            <w:vAlign w:val="center"/>
          </w:tcPr>
          <w:p w14:paraId="7EAE7A5E">
            <w:pPr>
              <w:rPr>
                <w:rFonts w:eastAsia="宋体"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**</w:t>
            </w:r>
          </w:p>
        </w:tc>
      </w:tr>
      <w:tr w14:paraId="7297D5E1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Align w:val="center"/>
          </w:tcPr>
          <w:p w14:paraId="2DEDF13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主要产品/服务</w:t>
            </w:r>
          </w:p>
        </w:tc>
        <w:tc>
          <w:tcPr>
            <w:tcW w:w="9168" w:type="dxa"/>
            <w:gridSpan w:val="7"/>
            <w:vAlign w:val="center"/>
          </w:tcPr>
          <w:p w14:paraId="067AB162">
            <w:pPr>
              <w:pStyle w:val="a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**</w:t>
            </w:r>
            <w:r>
              <w:rPr>
                <w:szCs w:val="21"/>
              </w:rPr>
              <w:t>所涉及的能源管理活动。</w:t>
            </w:r>
          </w:p>
        </w:tc>
      </w:tr>
      <w:tr w14:paraId="02CCF4F3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0746" w:type="dxa"/>
            <w:gridSpan w:val="8"/>
            <w:shd w:val="clear" w:color="auto" w:fill="C0C0C0"/>
            <w:vAlign w:val="center"/>
          </w:tcPr>
          <w:p w14:paraId="4710CE15">
            <w:pPr>
              <w:rPr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能源绩效通用信息</w:t>
            </w:r>
          </w:p>
        </w:tc>
      </w:tr>
      <w:tr w14:paraId="5CD0BDF9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0746" w:type="dxa"/>
            <w:gridSpan w:val="8"/>
            <w:shd w:val="clear" w:color="auto" w:fill="C0C0C0"/>
            <w:vAlign w:val="center"/>
          </w:tcPr>
          <w:p w14:paraId="0B477284">
            <w:pPr>
              <w:rPr>
                <w:rFonts w:hint="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Cs w:val="21"/>
                <w:lang w:val="en-US" w:eastAsia="zh-CN"/>
              </w:rPr>
              <w:t>审核类型：</w:t>
            </w:r>
            <w:r>
              <w:rPr>
                <w:rFonts w:ascii="Wingdings 2" w:hAnsi="Wingdings 2"/>
                <w:b/>
                <w:bCs/>
                <w:szCs w:val="21"/>
                <w:lang w:val="en-US" w:eastAsia="zh-CN"/>
              </w:rPr>
              <w:t>£</w:t>
            </w:r>
            <w:r>
              <w:rPr>
                <w:rFonts w:hint="eastAsia"/>
                <w:b/>
                <w:bCs/>
                <w:szCs w:val="21"/>
                <w:lang w:val="en-US" w:eastAsia="zh-CN"/>
              </w:rPr>
              <w:t xml:space="preserve">初审  </w:t>
            </w:r>
            <w:r>
              <w:rPr>
                <w:rFonts w:ascii="Wingdings 2" w:hAnsi="Wingdings 2"/>
                <w:b/>
                <w:bCs/>
                <w:szCs w:val="21"/>
                <w:lang w:val="en-US" w:eastAsia="zh-CN"/>
              </w:rPr>
              <w:t>£</w:t>
            </w:r>
            <w:r>
              <w:rPr>
                <w:rFonts w:hint="eastAsia"/>
                <w:b/>
                <w:bCs/>
                <w:szCs w:val="21"/>
                <w:lang w:val="en-US" w:eastAsia="zh-CN"/>
              </w:rPr>
              <w:t xml:space="preserve">第一次监督审核  </w:t>
            </w:r>
            <w:r>
              <w:rPr>
                <w:rFonts w:ascii="Wingdings 2" w:hAnsi="Wingdings 2"/>
                <w:b/>
                <w:bCs/>
                <w:szCs w:val="21"/>
                <w:lang w:val="en-US" w:eastAsia="zh-CN"/>
              </w:rPr>
              <w:t>£</w:t>
            </w:r>
            <w:r>
              <w:rPr>
                <w:rFonts w:hint="eastAsia"/>
                <w:b/>
                <w:bCs/>
                <w:szCs w:val="21"/>
                <w:lang w:val="en-US" w:eastAsia="zh-CN"/>
              </w:rPr>
              <w:t xml:space="preserve">第二次监督审核  </w:t>
            </w:r>
            <w:r>
              <w:rPr>
                <w:rFonts w:ascii="Wingdings 2" w:hAnsi="Wingdings 2"/>
                <w:b/>
                <w:bCs/>
                <w:szCs w:val="21"/>
                <w:lang w:val="en-US" w:eastAsia="zh-CN"/>
              </w:rPr>
              <w:t>£</w:t>
            </w:r>
            <w:r>
              <w:rPr>
                <w:rFonts w:hint="eastAsia"/>
                <w:b/>
                <w:bCs/>
                <w:szCs w:val="21"/>
                <w:lang w:val="en-US" w:eastAsia="zh-CN"/>
              </w:rPr>
              <w:t xml:space="preserve">再认证审核   </w:t>
            </w:r>
          </w:p>
          <w:p w14:paraId="6FC42CF5">
            <w:pPr>
              <w:rPr>
                <w:rFonts w:eastAsia="宋体" w:hint="default"/>
                <w:b/>
                <w:b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Cs w:val="21"/>
                <w:lang w:val="en-US" w:eastAsia="zh-CN"/>
              </w:rPr>
              <w:t>本次审核日期：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  <w:r>
              <w:rPr>
                <w:rFonts w:ascii="Arial" w:hAnsi="Arial" w:cs="Arial" w:hint="eastAsia"/>
                <w:szCs w:val="21"/>
                <w:u w:val="single"/>
                <w:lang w:val="en-US" w:eastAsia="zh-CN"/>
              </w:rPr>
              <w:t xml:space="preserve"> - 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</w:p>
        </w:tc>
      </w:tr>
      <w:tr w14:paraId="466AA0A9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/>
          <w:jc w:val="center"/>
        </w:trPr>
        <w:tc>
          <w:tcPr>
            <w:tcW w:w="4278" w:type="dxa"/>
            <w:gridSpan w:val="3"/>
            <w:vMerge w:val="restart"/>
            <w:shd w:val="clear" w:color="auto" w:fill="D9D9D9"/>
            <w:vAlign w:val="center"/>
          </w:tcPr>
          <w:p w14:paraId="3926377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数据统计期</w:t>
            </w:r>
          </w:p>
        </w:tc>
        <w:tc>
          <w:tcPr>
            <w:tcW w:w="2190" w:type="dxa"/>
            <w:gridSpan w:val="2"/>
            <w:shd w:val="clear" w:color="auto" w:fill="E0E0E0"/>
            <w:vAlign w:val="center"/>
          </w:tcPr>
          <w:p w14:paraId="262344B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基准期</w:t>
            </w:r>
          </w:p>
        </w:tc>
        <w:tc>
          <w:tcPr>
            <w:tcW w:w="2178" w:type="dxa"/>
            <w:gridSpan w:val="2"/>
            <w:shd w:val="clear" w:color="auto" w:fill="E0E0E0"/>
            <w:vAlign w:val="center"/>
          </w:tcPr>
          <w:p w14:paraId="7241CCA2"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报告期</w:t>
            </w:r>
          </w:p>
        </w:tc>
        <w:tc>
          <w:tcPr>
            <w:tcW w:w="2100" w:type="dxa"/>
            <w:shd w:val="clear" w:color="auto" w:fill="E0E0E0"/>
            <w:vAlign w:val="center"/>
          </w:tcPr>
          <w:p w14:paraId="4D93FE3D">
            <w:pPr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本年度截止到本次审核前统计数据</w:t>
            </w:r>
          </w:p>
        </w:tc>
      </w:tr>
      <w:tr w14:paraId="289754CD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/>
          <w:jc w:val="center"/>
        </w:trPr>
        <w:tc>
          <w:tcPr>
            <w:tcW w:w="4278" w:type="dxa"/>
            <w:gridSpan w:val="3"/>
            <w:vMerge/>
            <w:shd w:val="clear" w:color="auto" w:fill="D9D9D9"/>
            <w:vAlign w:val="center"/>
          </w:tcPr>
          <w:p w14:paraId="015B5EEE">
            <w:pPr>
              <w:rPr>
                <w:szCs w:val="21"/>
              </w:rPr>
            </w:pPr>
          </w:p>
        </w:tc>
        <w:tc>
          <w:tcPr>
            <w:tcW w:w="2190" w:type="dxa"/>
            <w:gridSpan w:val="2"/>
            <w:shd w:val="clear" w:color="auto" w:fill="E0E0E0"/>
            <w:vAlign w:val="center"/>
          </w:tcPr>
          <w:p w14:paraId="2C884979">
            <w:pPr>
              <w:jc w:val="center"/>
              <w:rPr>
                <w:rFonts w:eastAsia="宋体" w:hint="default"/>
                <w:szCs w:val="21"/>
                <w:lang w:val="en-US" w:eastAsia="zh-CN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  <w:r>
              <w:rPr>
                <w:rFonts w:ascii="Arial" w:hAnsi="Arial" w:cs="Arial" w:hint="eastAsia"/>
                <w:szCs w:val="21"/>
                <w:lang w:val="en-US" w:eastAsia="zh-CN"/>
              </w:rPr>
              <w:t xml:space="preserve"> - 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</w:p>
        </w:tc>
        <w:tc>
          <w:tcPr>
            <w:tcW w:w="2178" w:type="dxa"/>
            <w:gridSpan w:val="2"/>
            <w:shd w:val="clear" w:color="auto" w:fill="E0E0E0"/>
            <w:vAlign w:val="center"/>
          </w:tcPr>
          <w:p w14:paraId="6B9721C0">
            <w:pPr>
              <w:jc w:val="center"/>
              <w:rPr>
                <w:rFonts w:ascii="Arial" w:eastAsia="宋体" w:hAnsi="Arial" w:cs="Arial" w:hint="default"/>
                <w:szCs w:val="21"/>
                <w:lang w:val="en-US" w:eastAsia="zh-CN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  <w:r>
              <w:rPr>
                <w:rFonts w:ascii="Arial" w:hAnsi="Arial" w:cs="Arial" w:hint="eastAsia"/>
                <w:szCs w:val="21"/>
                <w:lang w:val="en-US" w:eastAsia="zh-CN"/>
              </w:rPr>
              <w:t xml:space="preserve">- 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</w:p>
        </w:tc>
        <w:tc>
          <w:tcPr>
            <w:tcW w:w="2100" w:type="dxa"/>
            <w:shd w:val="clear" w:color="auto" w:fill="E0E0E0"/>
            <w:vAlign w:val="center"/>
          </w:tcPr>
          <w:p w14:paraId="7BCD093F">
            <w:pPr>
              <w:jc w:val="center"/>
              <w:rPr>
                <w:rFonts w:ascii="Arial" w:eastAsia="宋体" w:hAnsi="Arial" w:cs="Arial" w:hint="default"/>
                <w:szCs w:val="21"/>
                <w:lang w:val="en-US" w:eastAsia="zh-CN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  <w:r>
              <w:rPr>
                <w:rFonts w:ascii="Arial" w:hAnsi="Arial" w:cs="Arial" w:hint="eastAsia"/>
                <w:szCs w:val="21"/>
                <w:lang w:val="en-US" w:eastAsia="zh-CN"/>
              </w:rPr>
              <w:t xml:space="preserve">- 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</w:p>
        </w:tc>
      </w:tr>
      <w:tr w14:paraId="66600D31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shd w:val="clear" w:color="auto" w:fill="D9D9D9"/>
            <w:vAlign w:val="center"/>
          </w:tcPr>
          <w:p w14:paraId="72C81C7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highlight w:val="none"/>
              </w:rPr>
              <w:t>工业总产值/主营业务收入</w:t>
            </w:r>
          </w:p>
        </w:tc>
        <w:tc>
          <w:tcPr>
            <w:tcW w:w="2700" w:type="dxa"/>
            <w:gridSpan w:val="2"/>
            <w:vAlign w:val="center"/>
          </w:tcPr>
          <w:p w14:paraId="502B0558">
            <w:pPr>
              <w:jc w:val="center"/>
              <w:rPr>
                <w:rFonts w:eastAsia="宋体" w:hint="default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</w:rPr>
              <w:t>单位</w:t>
            </w:r>
            <w:r>
              <w:rPr>
                <w:rFonts w:hint="eastAsia"/>
                <w:szCs w:val="21"/>
                <w:lang w:eastAsia="zh-CN"/>
              </w:rPr>
              <w:t>：</w:t>
            </w:r>
            <w:r>
              <w:rPr>
                <w:rFonts w:hint="eastAsia"/>
                <w:szCs w:val="21"/>
                <w:lang w:val="en-US" w:eastAsia="zh-CN"/>
              </w:rPr>
              <w:t>万元</w:t>
            </w:r>
          </w:p>
        </w:tc>
        <w:tc>
          <w:tcPr>
            <w:tcW w:w="2190" w:type="dxa"/>
            <w:gridSpan w:val="2"/>
            <w:vAlign w:val="center"/>
          </w:tcPr>
          <w:p w14:paraId="62421FBE">
            <w:pPr>
              <w:ind w:firstLine="840" w:firstLineChars="400"/>
              <w:rPr>
                <w:szCs w:val="21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2627F2EF">
            <w:pPr>
              <w:jc w:val="center"/>
              <w:rPr>
                <w:szCs w:val="21"/>
              </w:rPr>
            </w:pPr>
          </w:p>
        </w:tc>
        <w:tc>
          <w:tcPr>
            <w:tcW w:w="2100" w:type="dxa"/>
            <w:vAlign w:val="center"/>
          </w:tcPr>
          <w:p w14:paraId="7D37A3BE">
            <w:pPr>
              <w:jc w:val="center"/>
              <w:rPr>
                <w:szCs w:val="21"/>
              </w:rPr>
            </w:pPr>
          </w:p>
        </w:tc>
      </w:tr>
      <w:tr w14:paraId="082DEFD3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shd w:val="clear" w:color="auto" w:fill="D9D9D9"/>
            <w:vAlign w:val="center"/>
          </w:tcPr>
          <w:p w14:paraId="4F7B6B95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产量</w:t>
            </w:r>
          </w:p>
        </w:tc>
        <w:tc>
          <w:tcPr>
            <w:tcW w:w="2700" w:type="dxa"/>
            <w:gridSpan w:val="2"/>
            <w:vAlign w:val="center"/>
          </w:tcPr>
          <w:p w14:paraId="30D62397">
            <w:pPr>
              <w:jc w:val="center"/>
              <w:rPr>
                <w:rFonts w:eastAsia="宋体" w:hint="default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单位：**</w:t>
            </w:r>
            <w:bookmarkStart w:id="0" w:name="_GoBack"/>
            <w:bookmarkEnd w:id="0"/>
          </w:p>
        </w:tc>
        <w:tc>
          <w:tcPr>
            <w:tcW w:w="2190" w:type="dxa"/>
            <w:gridSpan w:val="2"/>
            <w:vAlign w:val="center"/>
          </w:tcPr>
          <w:p w14:paraId="041CE290">
            <w:pPr>
              <w:ind w:firstLine="840" w:firstLineChars="400"/>
              <w:rPr>
                <w:rFonts w:hint="eastAsia"/>
                <w:szCs w:val="21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132DB7EC">
            <w:pPr>
              <w:jc w:val="center"/>
              <w:rPr>
                <w:rFonts w:hint="eastAsia"/>
                <w:bCs/>
                <w:sz w:val="21"/>
                <w:szCs w:val="21"/>
              </w:rPr>
            </w:pPr>
          </w:p>
        </w:tc>
        <w:tc>
          <w:tcPr>
            <w:tcW w:w="2100" w:type="dxa"/>
            <w:vAlign w:val="center"/>
          </w:tcPr>
          <w:p w14:paraId="34C0A789">
            <w:pPr>
              <w:jc w:val="center"/>
              <w:rPr>
                <w:rFonts w:hint="eastAsia"/>
                <w:bCs/>
                <w:sz w:val="21"/>
                <w:szCs w:val="21"/>
              </w:rPr>
            </w:pPr>
          </w:p>
        </w:tc>
      </w:tr>
      <w:tr w14:paraId="48FDB831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shd w:val="clear" w:color="auto" w:fill="D9D9D9"/>
            <w:vAlign w:val="center"/>
          </w:tcPr>
          <w:p w14:paraId="2D794266">
            <w:pPr>
              <w:jc w:val="center"/>
              <w:rPr>
                <w:rFonts w:eastAsia="宋体"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</w:rPr>
              <w:t>综合能耗</w:t>
            </w:r>
          </w:p>
        </w:tc>
        <w:tc>
          <w:tcPr>
            <w:tcW w:w="2700" w:type="dxa"/>
            <w:gridSpan w:val="2"/>
            <w:vAlign w:val="center"/>
          </w:tcPr>
          <w:p w14:paraId="0F390E83">
            <w:pPr>
              <w:jc w:val="center"/>
              <w:rPr>
                <w:rFonts w:eastAsia="宋体" w:hint="eastAsia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单位：吨标准煤</w:t>
            </w:r>
          </w:p>
        </w:tc>
        <w:tc>
          <w:tcPr>
            <w:tcW w:w="2190" w:type="dxa"/>
            <w:gridSpan w:val="2"/>
            <w:vAlign w:val="center"/>
          </w:tcPr>
          <w:p w14:paraId="4DD2EB3A">
            <w:pPr>
              <w:jc w:val="center"/>
              <w:rPr>
                <w:szCs w:val="21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5D5D012E">
            <w:pPr>
              <w:jc w:val="center"/>
              <w:rPr>
                <w:szCs w:val="21"/>
              </w:rPr>
            </w:pPr>
          </w:p>
        </w:tc>
        <w:tc>
          <w:tcPr>
            <w:tcW w:w="2100" w:type="dxa"/>
            <w:vAlign w:val="center"/>
          </w:tcPr>
          <w:p w14:paraId="5CECDB96">
            <w:pPr>
              <w:jc w:val="center"/>
              <w:rPr>
                <w:szCs w:val="21"/>
              </w:rPr>
            </w:pPr>
          </w:p>
        </w:tc>
      </w:tr>
      <w:tr w14:paraId="1E11BE8B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/>
          <w:jc w:val="center"/>
        </w:trPr>
        <w:tc>
          <w:tcPr>
            <w:tcW w:w="1578" w:type="dxa"/>
            <w:vMerge w:val="restart"/>
            <w:shd w:val="clear" w:color="auto" w:fill="D9D9D9"/>
            <w:vAlign w:val="center"/>
          </w:tcPr>
          <w:p w14:paraId="7807486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单位产品/服务综合能耗</w:t>
            </w:r>
          </w:p>
        </w:tc>
        <w:tc>
          <w:tcPr>
            <w:tcW w:w="1530" w:type="dxa"/>
            <w:shd w:val="clear" w:color="auto" w:fill="BFBFBF" w:themeFill="background1" w:themeFillShade="BF"/>
            <w:vAlign w:val="center"/>
          </w:tcPr>
          <w:p w14:paraId="238D621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产品/服务名称</w:t>
            </w:r>
          </w:p>
        </w:tc>
        <w:tc>
          <w:tcPr>
            <w:tcW w:w="1170" w:type="dxa"/>
            <w:shd w:val="clear" w:color="auto" w:fill="BFBFBF" w:themeFill="background1" w:themeFillShade="BF"/>
            <w:vAlign w:val="center"/>
          </w:tcPr>
          <w:p w14:paraId="46F6B2E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单位及说明</w:t>
            </w:r>
          </w:p>
        </w:tc>
        <w:tc>
          <w:tcPr>
            <w:tcW w:w="2190" w:type="dxa"/>
            <w:gridSpan w:val="2"/>
            <w:shd w:val="clear" w:color="auto" w:fill="BFBFBF" w:themeFill="background1" w:themeFillShade="BF"/>
            <w:vAlign w:val="center"/>
          </w:tcPr>
          <w:p w14:paraId="0E0DA7A9">
            <w:pPr>
              <w:jc w:val="center"/>
              <w:rPr>
                <w:rFonts w:eastAsia="宋体" w:hint="default"/>
                <w:szCs w:val="21"/>
                <w:u w:val="single"/>
                <w:lang w:val="en-US" w:eastAsia="zh-CN"/>
              </w:rPr>
            </w:pPr>
            <w:r>
              <w:rPr>
                <w:rFonts w:hint="eastAsia"/>
                <w:szCs w:val="21"/>
                <w:u w:val="single"/>
                <w:lang w:val="en-US" w:eastAsia="zh-CN"/>
              </w:rPr>
              <w:t>/</w:t>
            </w:r>
          </w:p>
        </w:tc>
        <w:tc>
          <w:tcPr>
            <w:tcW w:w="2178" w:type="dxa"/>
            <w:gridSpan w:val="2"/>
            <w:shd w:val="clear" w:color="auto" w:fill="BFBFBF" w:themeFill="background1" w:themeFillShade="BF"/>
            <w:vAlign w:val="center"/>
          </w:tcPr>
          <w:p w14:paraId="5373EA92">
            <w:pPr>
              <w:jc w:val="center"/>
              <w:rPr>
                <w:rFonts w:eastAsia="宋体"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/</w:t>
            </w:r>
          </w:p>
        </w:tc>
        <w:tc>
          <w:tcPr>
            <w:tcW w:w="2100" w:type="dxa"/>
            <w:shd w:val="clear" w:color="auto" w:fill="BFBFBF" w:themeFill="background1" w:themeFillShade="BF"/>
            <w:vAlign w:val="center"/>
          </w:tcPr>
          <w:p w14:paraId="4A34FE02">
            <w:pPr>
              <w:jc w:val="center"/>
              <w:rPr>
                <w:rFonts w:eastAsia="宋体"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/</w:t>
            </w:r>
          </w:p>
        </w:tc>
      </w:tr>
      <w:tr w14:paraId="1C720FAF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4D777979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5C73411B">
            <w:pPr>
              <w:jc w:val="center"/>
              <w:rPr>
                <w:rFonts w:eastAsiaTheme="minorEastAsia" w:hint="default"/>
                <w:szCs w:val="21"/>
                <w:lang w:val="en-US"/>
              </w:rPr>
            </w:pPr>
            <w:r>
              <w:rPr>
                <w:rFonts w:eastAsiaTheme="minorEastAsia" w:hint="eastAsia"/>
                <w:szCs w:val="21"/>
                <w:lang w:val="en-US" w:eastAsia="zh-CN"/>
              </w:rPr>
              <w:t>（产品1）</w:t>
            </w:r>
          </w:p>
        </w:tc>
        <w:tc>
          <w:tcPr>
            <w:tcW w:w="1170" w:type="dxa"/>
            <w:vAlign w:val="center"/>
          </w:tcPr>
          <w:p w14:paraId="6A19EAB8">
            <w:pPr>
              <w:jc w:val="center"/>
              <w:rPr>
                <w:szCs w:val="21"/>
              </w:rPr>
            </w:pPr>
          </w:p>
        </w:tc>
        <w:tc>
          <w:tcPr>
            <w:tcW w:w="2190" w:type="dxa"/>
            <w:gridSpan w:val="2"/>
            <w:vAlign w:val="center"/>
          </w:tcPr>
          <w:p w14:paraId="414E2B96">
            <w:pPr>
              <w:jc w:val="center"/>
              <w:rPr>
                <w:rFonts w:eastAsiaTheme="minorEastAsia"/>
                <w:szCs w:val="21"/>
                <w:u w:val="none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095BD58A">
            <w:pPr>
              <w:jc w:val="center"/>
              <w:rPr>
                <w:rFonts w:eastAsiaTheme="minorEastAsia"/>
                <w:szCs w:val="21"/>
                <w:u w:val="none"/>
              </w:rPr>
            </w:pPr>
          </w:p>
        </w:tc>
        <w:tc>
          <w:tcPr>
            <w:tcW w:w="2100" w:type="dxa"/>
            <w:vAlign w:val="center"/>
          </w:tcPr>
          <w:p w14:paraId="1E6A994A">
            <w:pPr>
              <w:jc w:val="center"/>
              <w:rPr>
                <w:rFonts w:eastAsiaTheme="minorEastAsia"/>
                <w:szCs w:val="21"/>
                <w:u w:val="none"/>
              </w:rPr>
            </w:pPr>
          </w:p>
        </w:tc>
      </w:tr>
      <w:tr w14:paraId="39F3BFEB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6786C59C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3E2ACA9F">
            <w:pPr>
              <w:jc w:val="center"/>
              <w:rPr>
                <w:rFonts w:eastAsiaTheme="minorEastAsia" w:hint="default"/>
                <w:szCs w:val="21"/>
                <w:lang w:val="en-US" w:eastAsia="zh-CN"/>
              </w:rPr>
            </w:pPr>
            <w:r>
              <w:rPr>
                <w:rFonts w:eastAsiaTheme="minorEastAsia" w:hint="eastAsia"/>
                <w:szCs w:val="21"/>
                <w:lang w:val="en-US" w:eastAsia="zh-CN"/>
              </w:rPr>
              <w:t>（产品2）</w:t>
            </w:r>
          </w:p>
        </w:tc>
        <w:tc>
          <w:tcPr>
            <w:tcW w:w="1170" w:type="dxa"/>
            <w:vAlign w:val="center"/>
          </w:tcPr>
          <w:p w14:paraId="3E4F0D60">
            <w:pPr>
              <w:jc w:val="center"/>
              <w:rPr>
                <w:szCs w:val="21"/>
              </w:rPr>
            </w:pPr>
          </w:p>
        </w:tc>
        <w:tc>
          <w:tcPr>
            <w:tcW w:w="2190" w:type="dxa"/>
            <w:gridSpan w:val="2"/>
            <w:vAlign w:val="center"/>
          </w:tcPr>
          <w:p w14:paraId="7AB2CFF3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7C784ED5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2100" w:type="dxa"/>
            <w:vAlign w:val="center"/>
          </w:tcPr>
          <w:p w14:paraId="53CBD62D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</w:tr>
      <w:tr w14:paraId="3D2E7823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4FB01D95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24674094">
            <w:pPr>
              <w:jc w:val="center"/>
              <w:rPr>
                <w:rFonts w:eastAsiaTheme="minorEastAsia" w:hint="default"/>
                <w:szCs w:val="21"/>
                <w:lang w:val="en-US" w:eastAsia="zh-CN"/>
              </w:rPr>
            </w:pPr>
            <w:r>
              <w:rPr>
                <w:rFonts w:eastAsiaTheme="minorEastAsia" w:hint="eastAsia"/>
                <w:szCs w:val="21"/>
                <w:lang w:val="en-US" w:eastAsia="zh-CN"/>
              </w:rPr>
              <w:t>（产品3）</w:t>
            </w:r>
          </w:p>
        </w:tc>
        <w:tc>
          <w:tcPr>
            <w:tcW w:w="1170" w:type="dxa"/>
            <w:vAlign w:val="center"/>
          </w:tcPr>
          <w:p w14:paraId="1AAE3147">
            <w:pPr>
              <w:jc w:val="center"/>
              <w:rPr>
                <w:szCs w:val="21"/>
              </w:rPr>
            </w:pPr>
          </w:p>
        </w:tc>
        <w:tc>
          <w:tcPr>
            <w:tcW w:w="2190" w:type="dxa"/>
            <w:gridSpan w:val="2"/>
            <w:vAlign w:val="center"/>
          </w:tcPr>
          <w:p w14:paraId="208E8FC5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2338ACFC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2100" w:type="dxa"/>
            <w:vAlign w:val="center"/>
          </w:tcPr>
          <w:p w14:paraId="478CBE6A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</w:tr>
      <w:tr w14:paraId="7CF08AA1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7E16C13F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0B3CD267">
            <w:pPr>
              <w:jc w:val="center"/>
              <w:rPr>
                <w:rFonts w:eastAsiaTheme="minorEastAsia" w:hint="default"/>
                <w:szCs w:val="21"/>
                <w:lang w:val="en-US" w:eastAsia="zh-CN"/>
              </w:rPr>
            </w:pPr>
            <w:r>
              <w:rPr>
                <w:rFonts w:eastAsiaTheme="minorEastAsia" w:hint="eastAsia"/>
                <w:szCs w:val="21"/>
                <w:lang w:val="en-US" w:eastAsia="zh-CN"/>
              </w:rPr>
              <w:t>（产品4）</w:t>
            </w:r>
          </w:p>
        </w:tc>
        <w:tc>
          <w:tcPr>
            <w:tcW w:w="1170" w:type="dxa"/>
            <w:vAlign w:val="center"/>
          </w:tcPr>
          <w:p w14:paraId="3E197DD2">
            <w:pPr>
              <w:jc w:val="center"/>
              <w:rPr>
                <w:szCs w:val="21"/>
              </w:rPr>
            </w:pPr>
          </w:p>
        </w:tc>
        <w:tc>
          <w:tcPr>
            <w:tcW w:w="2190" w:type="dxa"/>
            <w:gridSpan w:val="2"/>
            <w:vAlign w:val="center"/>
          </w:tcPr>
          <w:p w14:paraId="3C04F04B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3F5623EA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2100" w:type="dxa"/>
            <w:vAlign w:val="center"/>
          </w:tcPr>
          <w:p w14:paraId="43549D15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</w:tr>
      <w:tr w14:paraId="4145CFDA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shd w:val="clear" w:color="auto" w:fill="D9D9D9"/>
            <w:vAlign w:val="center"/>
          </w:tcPr>
          <w:p w14:paraId="486C2DF5">
            <w:pPr>
              <w:jc w:val="center"/>
              <w:rPr>
                <w:rFonts w:eastAsia="宋体"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单位产值综合能耗</w:t>
            </w:r>
          </w:p>
        </w:tc>
        <w:tc>
          <w:tcPr>
            <w:tcW w:w="1530" w:type="dxa"/>
            <w:vAlign w:val="center"/>
          </w:tcPr>
          <w:p w14:paraId="4E89BC82">
            <w:pPr>
              <w:jc w:val="center"/>
              <w:rPr>
                <w:rFonts w:eastAsiaTheme="minorEastAsia" w:hint="eastAsia"/>
                <w:szCs w:val="21"/>
                <w:lang w:val="en-US" w:eastAsia="zh-CN"/>
              </w:rPr>
            </w:pPr>
            <w:r>
              <w:rPr>
                <w:rFonts w:eastAsiaTheme="minorEastAsia" w:hint="eastAsia"/>
                <w:szCs w:val="21"/>
                <w:lang w:val="en-US" w:eastAsia="zh-CN"/>
              </w:rPr>
              <w:t>/</w:t>
            </w:r>
          </w:p>
        </w:tc>
        <w:tc>
          <w:tcPr>
            <w:tcW w:w="1170" w:type="dxa"/>
            <w:vAlign w:val="center"/>
          </w:tcPr>
          <w:p w14:paraId="7CFC3391">
            <w:pPr>
              <w:jc w:val="center"/>
              <w:rPr>
                <w:rFonts w:eastAsia="宋体"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吨标准煤/万元</w:t>
            </w:r>
          </w:p>
        </w:tc>
        <w:tc>
          <w:tcPr>
            <w:tcW w:w="2190" w:type="dxa"/>
            <w:gridSpan w:val="2"/>
            <w:vAlign w:val="center"/>
          </w:tcPr>
          <w:p w14:paraId="7A437711">
            <w:pPr>
              <w:jc w:val="center"/>
              <w:rPr>
                <w:rFonts w:hint="default"/>
                <w:szCs w:val="21"/>
                <w:lang w:val="en-US" w:eastAsia="zh-CN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28FC306F">
            <w:pPr>
              <w:jc w:val="center"/>
              <w:rPr>
                <w:rFonts w:hint="default"/>
                <w:szCs w:val="21"/>
                <w:lang w:val="en-US" w:eastAsia="zh-CN"/>
              </w:rPr>
            </w:pPr>
          </w:p>
        </w:tc>
        <w:tc>
          <w:tcPr>
            <w:tcW w:w="2100" w:type="dxa"/>
            <w:vAlign w:val="center"/>
          </w:tcPr>
          <w:p w14:paraId="5A76116F">
            <w:pPr>
              <w:jc w:val="center"/>
              <w:rPr>
                <w:rFonts w:hint="default"/>
                <w:szCs w:val="21"/>
                <w:lang w:val="en-US" w:eastAsia="zh-CN"/>
              </w:rPr>
            </w:pPr>
          </w:p>
        </w:tc>
      </w:tr>
      <w:tr w14:paraId="498B746A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0746" w:type="dxa"/>
            <w:gridSpan w:val="8"/>
            <w:shd w:val="clear" w:color="auto" w:fill="C0C0C0"/>
            <w:vAlign w:val="center"/>
          </w:tcPr>
          <w:p w14:paraId="470237B7">
            <w:pPr>
              <w:jc w:val="center"/>
              <w:rPr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能源绩效改进信息</w:t>
            </w:r>
          </w:p>
        </w:tc>
      </w:tr>
      <w:tr w14:paraId="5166EE4D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/>
          <w:jc w:val="center"/>
        </w:trPr>
        <w:tc>
          <w:tcPr>
            <w:tcW w:w="1578" w:type="dxa"/>
            <w:vMerge w:val="restart"/>
            <w:shd w:val="clear" w:color="auto" w:fill="D9D9D9"/>
            <w:vAlign w:val="center"/>
          </w:tcPr>
          <w:p w14:paraId="52AFFE6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改进1</w:t>
            </w:r>
          </w:p>
        </w:tc>
        <w:tc>
          <w:tcPr>
            <w:tcW w:w="1530" w:type="dxa"/>
            <w:vAlign w:val="center"/>
          </w:tcPr>
          <w:p w14:paraId="336669B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638" w:type="dxa"/>
            <w:gridSpan w:val="6"/>
            <w:vAlign w:val="center"/>
          </w:tcPr>
          <w:p w14:paraId="2BFAFEA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单位产值增加值综合耗能</w:t>
            </w:r>
          </w:p>
        </w:tc>
      </w:tr>
      <w:tr w14:paraId="1D35AF60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486FFBA0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0D04F13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能源基准</w:t>
            </w:r>
          </w:p>
        </w:tc>
        <w:tc>
          <w:tcPr>
            <w:tcW w:w="3020" w:type="dxa"/>
            <w:gridSpan w:val="2"/>
            <w:vAlign w:val="center"/>
          </w:tcPr>
          <w:p w14:paraId="4217445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kgce/万元</w:t>
            </w:r>
          </w:p>
        </w:tc>
        <w:tc>
          <w:tcPr>
            <w:tcW w:w="1301" w:type="dxa"/>
            <w:gridSpan w:val="2"/>
            <w:vAlign w:val="center"/>
          </w:tcPr>
          <w:p w14:paraId="7911BB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2"/>
            <w:vAlign w:val="center"/>
          </w:tcPr>
          <w:p w14:paraId="3FA9FEA8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-</w:t>
            </w:r>
          </w:p>
        </w:tc>
      </w:tr>
      <w:tr w14:paraId="56C76358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62AF31D0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03EC16A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020" w:type="dxa"/>
            <w:gridSpan w:val="2"/>
            <w:vAlign w:val="center"/>
          </w:tcPr>
          <w:p w14:paraId="0818366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kgce/万元</w:t>
            </w:r>
          </w:p>
        </w:tc>
        <w:tc>
          <w:tcPr>
            <w:tcW w:w="1301" w:type="dxa"/>
            <w:gridSpan w:val="2"/>
            <w:vAlign w:val="center"/>
          </w:tcPr>
          <w:p w14:paraId="492D91D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2"/>
            <w:vAlign w:val="center"/>
          </w:tcPr>
          <w:p w14:paraId="71F37D8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-</w:t>
            </w:r>
          </w:p>
        </w:tc>
      </w:tr>
      <w:tr w14:paraId="0B018727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 w:val="restart"/>
            <w:shd w:val="clear" w:color="auto" w:fill="D9D9D9"/>
            <w:vAlign w:val="center"/>
          </w:tcPr>
          <w:p w14:paraId="334E9EE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改进</w:t>
            </w:r>
            <w:r>
              <w:rPr>
                <w:szCs w:val="21"/>
              </w:rPr>
              <w:t>2</w:t>
            </w:r>
          </w:p>
        </w:tc>
        <w:tc>
          <w:tcPr>
            <w:tcW w:w="1530" w:type="dxa"/>
            <w:vAlign w:val="center"/>
          </w:tcPr>
          <w:p w14:paraId="12507C9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638" w:type="dxa"/>
            <w:gridSpan w:val="6"/>
            <w:vAlign w:val="center"/>
          </w:tcPr>
          <w:p w14:paraId="3BF6BC54">
            <w:pPr>
              <w:jc w:val="center"/>
              <w:rPr>
                <w:szCs w:val="21"/>
              </w:rPr>
            </w:pPr>
          </w:p>
        </w:tc>
      </w:tr>
      <w:tr w14:paraId="5B4C5884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4DFF0EC9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2E53AA2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能源基准</w:t>
            </w:r>
          </w:p>
        </w:tc>
        <w:tc>
          <w:tcPr>
            <w:tcW w:w="3020" w:type="dxa"/>
            <w:gridSpan w:val="2"/>
            <w:vAlign w:val="center"/>
          </w:tcPr>
          <w:p w14:paraId="75AA9A47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gridSpan w:val="2"/>
            <w:vAlign w:val="center"/>
          </w:tcPr>
          <w:p w14:paraId="3CD43D9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2"/>
            <w:vAlign w:val="center"/>
          </w:tcPr>
          <w:p w14:paraId="7B4AAA0C">
            <w:pPr>
              <w:jc w:val="center"/>
              <w:rPr>
                <w:szCs w:val="21"/>
              </w:rPr>
            </w:pPr>
          </w:p>
        </w:tc>
      </w:tr>
      <w:tr w14:paraId="5E2ED1A1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61E34B59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7CEE78F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020" w:type="dxa"/>
            <w:gridSpan w:val="2"/>
            <w:vAlign w:val="center"/>
          </w:tcPr>
          <w:p w14:paraId="63AA5AC4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gridSpan w:val="2"/>
            <w:vAlign w:val="center"/>
          </w:tcPr>
          <w:p w14:paraId="5B2719E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2"/>
            <w:vAlign w:val="center"/>
          </w:tcPr>
          <w:p w14:paraId="75ECD10E">
            <w:pPr>
              <w:jc w:val="center"/>
              <w:rPr>
                <w:szCs w:val="21"/>
              </w:rPr>
            </w:pPr>
          </w:p>
        </w:tc>
      </w:tr>
      <w:tr w14:paraId="44E6BAB0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 w:val="restart"/>
            <w:shd w:val="clear" w:color="auto" w:fill="D9D9D9"/>
            <w:vAlign w:val="center"/>
          </w:tcPr>
          <w:p w14:paraId="0670375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改进</w:t>
            </w:r>
            <w:r>
              <w:rPr>
                <w:szCs w:val="21"/>
              </w:rPr>
              <w:t>3</w:t>
            </w:r>
          </w:p>
        </w:tc>
        <w:tc>
          <w:tcPr>
            <w:tcW w:w="1530" w:type="dxa"/>
            <w:vAlign w:val="center"/>
          </w:tcPr>
          <w:p w14:paraId="1D68CE6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638" w:type="dxa"/>
            <w:gridSpan w:val="6"/>
            <w:vAlign w:val="center"/>
          </w:tcPr>
          <w:p w14:paraId="20401A9C">
            <w:pPr>
              <w:jc w:val="center"/>
              <w:rPr>
                <w:szCs w:val="21"/>
              </w:rPr>
            </w:pPr>
          </w:p>
        </w:tc>
      </w:tr>
      <w:tr w14:paraId="122F5F36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763EC567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26F8657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能源基准</w:t>
            </w:r>
          </w:p>
        </w:tc>
        <w:tc>
          <w:tcPr>
            <w:tcW w:w="3020" w:type="dxa"/>
            <w:gridSpan w:val="2"/>
            <w:vAlign w:val="center"/>
          </w:tcPr>
          <w:p w14:paraId="7B4A7F9A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gridSpan w:val="2"/>
            <w:vAlign w:val="center"/>
          </w:tcPr>
          <w:p w14:paraId="03BE787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2"/>
            <w:vAlign w:val="center"/>
          </w:tcPr>
          <w:p w14:paraId="26937029">
            <w:pPr>
              <w:jc w:val="center"/>
              <w:rPr>
                <w:szCs w:val="21"/>
              </w:rPr>
            </w:pPr>
          </w:p>
        </w:tc>
      </w:tr>
      <w:tr w14:paraId="174C60EF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70F90931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58DF0A2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020" w:type="dxa"/>
            <w:gridSpan w:val="2"/>
            <w:vAlign w:val="center"/>
          </w:tcPr>
          <w:p w14:paraId="28B4BCB4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gridSpan w:val="2"/>
            <w:vAlign w:val="center"/>
          </w:tcPr>
          <w:p w14:paraId="281517F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2"/>
            <w:vAlign w:val="center"/>
          </w:tcPr>
          <w:p w14:paraId="711A9D4F">
            <w:pPr>
              <w:jc w:val="center"/>
              <w:rPr>
                <w:szCs w:val="21"/>
              </w:rPr>
            </w:pPr>
          </w:p>
        </w:tc>
      </w:tr>
      <w:tr w14:paraId="19B79024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 w:val="restart"/>
            <w:shd w:val="clear" w:color="auto" w:fill="D9D9D9"/>
            <w:vAlign w:val="center"/>
          </w:tcPr>
          <w:p w14:paraId="1241112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改进</w:t>
            </w:r>
            <w:r>
              <w:rPr>
                <w:szCs w:val="21"/>
              </w:rPr>
              <w:t>…</w:t>
            </w:r>
          </w:p>
        </w:tc>
        <w:tc>
          <w:tcPr>
            <w:tcW w:w="1530" w:type="dxa"/>
            <w:vAlign w:val="center"/>
          </w:tcPr>
          <w:p w14:paraId="7320D6E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638" w:type="dxa"/>
            <w:gridSpan w:val="6"/>
            <w:vAlign w:val="center"/>
          </w:tcPr>
          <w:p w14:paraId="691B78AA">
            <w:pPr>
              <w:jc w:val="center"/>
              <w:rPr>
                <w:szCs w:val="21"/>
              </w:rPr>
            </w:pPr>
          </w:p>
        </w:tc>
      </w:tr>
      <w:tr w14:paraId="2B889EF3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79591408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2F90805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能源基准</w:t>
            </w:r>
          </w:p>
        </w:tc>
        <w:tc>
          <w:tcPr>
            <w:tcW w:w="3020" w:type="dxa"/>
            <w:gridSpan w:val="2"/>
            <w:vAlign w:val="center"/>
          </w:tcPr>
          <w:p w14:paraId="50A75560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gridSpan w:val="2"/>
            <w:vAlign w:val="center"/>
          </w:tcPr>
          <w:p w14:paraId="1F06C21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2"/>
            <w:vAlign w:val="center"/>
          </w:tcPr>
          <w:p w14:paraId="4FAC45B0">
            <w:pPr>
              <w:jc w:val="center"/>
              <w:rPr>
                <w:szCs w:val="21"/>
              </w:rPr>
            </w:pPr>
          </w:p>
        </w:tc>
      </w:tr>
      <w:tr w14:paraId="3C5292A3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0F639E53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1DE06510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020" w:type="dxa"/>
            <w:gridSpan w:val="2"/>
            <w:vAlign w:val="center"/>
          </w:tcPr>
          <w:p w14:paraId="3C11702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gridSpan w:val="2"/>
            <w:vAlign w:val="center"/>
          </w:tcPr>
          <w:p w14:paraId="5D6369C9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2"/>
            <w:vAlign w:val="center"/>
          </w:tcPr>
          <w:p w14:paraId="03A7AFBF">
            <w:pPr>
              <w:jc w:val="center"/>
              <w:rPr>
                <w:szCs w:val="21"/>
              </w:rPr>
            </w:pPr>
          </w:p>
        </w:tc>
      </w:tr>
      <w:tr w14:paraId="7AB3E5BB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0746" w:type="dxa"/>
            <w:gridSpan w:val="8"/>
            <w:shd w:val="clear" w:color="auto" w:fill="auto"/>
            <w:vAlign w:val="center"/>
          </w:tcPr>
          <w:p w14:paraId="68014FF2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填表说明：</w:t>
            </w:r>
          </w:p>
          <w:p w14:paraId="3D449946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1. 统计时间：应尽可能选取12个月的数据，如因特殊情况不能取得12个月的完整数据时，应确保前一统计时期内的数据与当次审核数据具有可比性。如果在一季度进行审核，本次审核关注的统计期为上一年度；如果不在第一季度审核，本次审核关注统计期为上一年度和本年度可获得的统计期（每个统计期分别填写一张本表）。举例：2016年3月审核，本次审核关注的统计期为2015-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至2015-</w:t>
            </w:r>
            <w:r>
              <w:rPr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；2016年4月审核，本次审核关注的统计期有两个，分别是2015-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至2015-</w:t>
            </w:r>
            <w:r>
              <w:rPr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，2016-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至2016-</w:t>
            </w:r>
            <w:r>
              <w:rPr>
                <w:bCs/>
                <w:iCs/>
                <w:sz w:val="18"/>
                <w:szCs w:val="18"/>
              </w:rPr>
              <w:t>03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。</w:t>
            </w:r>
          </w:p>
          <w:p w14:paraId="5DB02EA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2. 各类能源综合能耗折算方法按GB/T 2589《综合能耗计算通则》执行。</w:t>
            </w:r>
          </w:p>
          <w:p w14:paraId="5D2EA6C2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3. 产品单位参照《产品产量单位代码》填写；当某种产品单位为“99其他”时，则需填写产品单位说明。</w:t>
            </w:r>
          </w:p>
          <w:p w14:paraId="2D20EA56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4. 能源绩效改进信息:</w:t>
            </w:r>
          </w:p>
          <w:p w14:paraId="286ADBE9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(1)应填写自上次审核之后到本次审核期间，组织能源绩效</w:t>
            </w:r>
            <w:r>
              <w:rPr>
                <w:rFonts w:hint="eastAsia"/>
                <w:bCs/>
                <w:iCs/>
                <w:sz w:val="18"/>
                <w:szCs w:val="18"/>
                <w:u w:val="single"/>
              </w:rPr>
              <w:t>有所改进</w:t>
            </w:r>
            <w:r>
              <w:rPr>
                <w:rFonts w:hint="eastAsia"/>
                <w:bCs/>
                <w:iCs/>
                <w:sz w:val="18"/>
                <w:szCs w:val="18"/>
              </w:rPr>
              <w:t>的信息，可包括公司层面、部门层面和设备、工艺层面的能源绩效改进。</w:t>
            </w:r>
          </w:p>
          <w:p w14:paraId="4EC5AFA0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(2)应根据企业实际改进情况填写（改进了多少项就填写多少项），并至少应有一项改进（认证通过的前提）。</w:t>
            </w:r>
          </w:p>
          <w:p w14:paraId="7C179164">
            <w:pPr>
              <w:rPr>
                <w:rFonts w:hint="eastAsia"/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5、统计期和基准期（开始日期至截止日期）的格式为：YYYY-MM-DD至YYYY-MM-DD</w:t>
            </w:r>
          </w:p>
          <w:p w14:paraId="29A052A1">
            <w:pPr>
              <w:rPr>
                <w:rFonts w:eastAsia="宋体" w:hint="default"/>
                <w:bCs/>
                <w:iCs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Cs/>
                <w:iCs/>
                <w:sz w:val="18"/>
                <w:szCs w:val="18"/>
                <w:lang w:val="en-US" w:eastAsia="zh-CN"/>
              </w:rPr>
              <w:t>6、统计期数据填写要求：综合能耗、单位产品/服务综合能耗、单位产值综合能耗以上五类数据最多精确到小数点后4位</w:t>
            </w:r>
          </w:p>
        </w:tc>
      </w:tr>
    </w:tbl>
    <w:p w14:paraId="1B0CCA48"/>
    <w:sectPr>
      <w:headerReference w:type="default" r:id="rId5"/>
      <w:footerReference w:type="default" r:id="rId6"/>
      <w:pgSz w:w="11906" w:h="16838"/>
      <w:pgMar w:top="1440" w:right="1080" w:bottom="1440" w:left="1080" w:header="510" w:footer="425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590EA97B">
    <w:pPr>
      <w:pStyle w:val="Foo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Footer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026" o:spid="_x0000_s2050" type="#_x0000_t202" style="width:2in;height:2in;margin-top:0;margin-left:0;mso-height-relative:page;mso-position-horizontal:center;mso-position-horizontal-relative:margin;mso-width-relative:page;mso-wrap-style:none;position:absolute;z-index:251660288" coordsize="21600,21600" filled="f" stroked="f">
              <o:lock v:ext="edit" aspectratio="f"/>
              <v:textbox style="mso-fit-shape-to-text:t" inset="0,0,0,0">
                <w:txbxContent>
                  <w:p w14:paraId="3567C172">
                    <w:pPr>
                      <w:pStyle w:val="Footer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5F59A152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1" w:name="_Hlk131525195"/>
    <w:bookmarkStart w:id="2" w:name="_Hlk131525196"/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89033957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604808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3765550</wp:posOffset>
              </wp:positionH>
              <wp:positionV relativeFrom="paragraph">
                <wp:posOffset>173990</wp:posOffset>
              </wp:positionV>
              <wp:extent cx="2423160" cy="231140"/>
              <wp:effectExtent l="0" t="0" r="15240" b="16510"/>
              <wp:wrapNone/>
              <wp:docPr id="2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2423160" cy="2311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</w:t>
                          </w:r>
                          <w:r>
                            <w:rPr>
                              <w:sz w:val="18"/>
                              <w:szCs w:val="18"/>
                            </w:rPr>
                            <w:t>B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</w:t>
                          </w:r>
                          <w:r>
                            <w:rPr>
                              <w:sz w:val="18"/>
                              <w:szCs w:val="18"/>
                            </w:rPr>
                            <w:t>10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</w:t>
                          </w:r>
                          <w:r>
                            <w:rPr>
                              <w:sz w:val="18"/>
                              <w:szCs w:val="18"/>
                            </w:rPr>
                            <w:t>5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(</w:t>
                          </w:r>
                          <w:r>
                            <w:rPr>
                              <w:sz w:val="18"/>
                              <w:szCs w:val="18"/>
                            </w:rPr>
                            <w:t>B/0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)能源管理体系审核报告附表</w:t>
                          </w:r>
                        </w:p>
                        <w:p/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025" o:spid="_x0000_s2049" type="#_x0000_t202" style="width:190.8pt;height:18.2pt;margin-top:13.7pt;margin-left:296.5pt;mso-height-relative:page;mso-width-relative:page;position:absolute;z-index:251662336" coordsize="21600,21600" filled="t" fillcolor="white" stroked="f">
              <o:lock v:ext="edit" aspectratio="f"/>
              <v:textbox>
                <w:txbxContent>
                  <w:p w14:paraId="713A8E1F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rFonts w:hint="eastAsia"/>
                        <w:sz w:val="18"/>
                        <w:szCs w:val="18"/>
                      </w:rPr>
                      <w:t>ISC-</w:t>
                    </w:r>
                    <w:r>
                      <w:rPr>
                        <w:sz w:val="18"/>
                        <w:szCs w:val="18"/>
                      </w:rPr>
                      <w:t>B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</w:t>
                    </w:r>
                    <w:r>
                      <w:rPr>
                        <w:sz w:val="18"/>
                        <w:szCs w:val="18"/>
                      </w:rPr>
                      <w:t>10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</w:t>
                    </w:r>
                    <w:r>
                      <w:rPr>
                        <w:sz w:val="18"/>
                        <w:szCs w:val="18"/>
                      </w:rPr>
                      <w:t>5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(</w:t>
                    </w:r>
                    <w:r>
                      <w:rPr>
                        <w:sz w:val="18"/>
                        <w:szCs w:val="18"/>
                      </w:rPr>
                      <w:t>B/0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)能源管理体系审核报告附表</w:t>
                    </w:r>
                  </w:p>
                  <w:p w14:paraId="7D8EC65D"/>
                </w:txbxContent>
              </v:textbox>
            </v:shape>
          </w:pict>
        </mc:Fallback>
      </mc:AlternateConten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4530CC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"/>
    <w:bookmarkEnd w:id="2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420"/>
  <w:drawingGridHorizontalSpacing w:val="105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13C"/>
    <w:rsid w:val="00003BF2"/>
    <w:rsid w:val="00006ADE"/>
    <w:rsid w:val="000247CC"/>
    <w:rsid w:val="000443F0"/>
    <w:rsid w:val="00071D0F"/>
    <w:rsid w:val="00075C70"/>
    <w:rsid w:val="000833FB"/>
    <w:rsid w:val="0008517E"/>
    <w:rsid w:val="000F2F8F"/>
    <w:rsid w:val="00106AEF"/>
    <w:rsid w:val="00190ED2"/>
    <w:rsid w:val="001D399B"/>
    <w:rsid w:val="001D5696"/>
    <w:rsid w:val="0023683F"/>
    <w:rsid w:val="00240EF8"/>
    <w:rsid w:val="002B120A"/>
    <w:rsid w:val="002D0DC0"/>
    <w:rsid w:val="002D1483"/>
    <w:rsid w:val="002D778F"/>
    <w:rsid w:val="002F2185"/>
    <w:rsid w:val="002F549E"/>
    <w:rsid w:val="00341103"/>
    <w:rsid w:val="00344E0D"/>
    <w:rsid w:val="00347AE8"/>
    <w:rsid w:val="003653AA"/>
    <w:rsid w:val="00373391"/>
    <w:rsid w:val="00376915"/>
    <w:rsid w:val="00382BE2"/>
    <w:rsid w:val="003E1392"/>
    <w:rsid w:val="003E3D4F"/>
    <w:rsid w:val="003F74C1"/>
    <w:rsid w:val="003F7D21"/>
    <w:rsid w:val="004100EA"/>
    <w:rsid w:val="004130A1"/>
    <w:rsid w:val="004373D7"/>
    <w:rsid w:val="004614A7"/>
    <w:rsid w:val="00464786"/>
    <w:rsid w:val="00484B0B"/>
    <w:rsid w:val="004B214B"/>
    <w:rsid w:val="004C1602"/>
    <w:rsid w:val="004D3E71"/>
    <w:rsid w:val="004D5625"/>
    <w:rsid w:val="004E43BF"/>
    <w:rsid w:val="004F3778"/>
    <w:rsid w:val="005164BD"/>
    <w:rsid w:val="00532B87"/>
    <w:rsid w:val="00584F23"/>
    <w:rsid w:val="00592421"/>
    <w:rsid w:val="005A2C7F"/>
    <w:rsid w:val="005B675E"/>
    <w:rsid w:val="005E1CBB"/>
    <w:rsid w:val="00603285"/>
    <w:rsid w:val="00610FA8"/>
    <w:rsid w:val="006112A8"/>
    <w:rsid w:val="00613E2F"/>
    <w:rsid w:val="006306D9"/>
    <w:rsid w:val="00632A83"/>
    <w:rsid w:val="00661725"/>
    <w:rsid w:val="00692141"/>
    <w:rsid w:val="006C6F24"/>
    <w:rsid w:val="006D068C"/>
    <w:rsid w:val="006D7D81"/>
    <w:rsid w:val="00712F52"/>
    <w:rsid w:val="007337AA"/>
    <w:rsid w:val="00770469"/>
    <w:rsid w:val="00775D3A"/>
    <w:rsid w:val="0079236D"/>
    <w:rsid w:val="007975F9"/>
    <w:rsid w:val="007B2F73"/>
    <w:rsid w:val="007B778F"/>
    <w:rsid w:val="007C4DD7"/>
    <w:rsid w:val="008030AC"/>
    <w:rsid w:val="00806584"/>
    <w:rsid w:val="00845D78"/>
    <w:rsid w:val="00850E86"/>
    <w:rsid w:val="00857EF7"/>
    <w:rsid w:val="008648E8"/>
    <w:rsid w:val="00874346"/>
    <w:rsid w:val="00874F9F"/>
    <w:rsid w:val="00877EB8"/>
    <w:rsid w:val="008A6929"/>
    <w:rsid w:val="008B173F"/>
    <w:rsid w:val="008E67FF"/>
    <w:rsid w:val="009066A6"/>
    <w:rsid w:val="009203AC"/>
    <w:rsid w:val="0092740B"/>
    <w:rsid w:val="00932B07"/>
    <w:rsid w:val="009A7BA8"/>
    <w:rsid w:val="009B43AC"/>
    <w:rsid w:val="009E35D1"/>
    <w:rsid w:val="009E741A"/>
    <w:rsid w:val="00A057D9"/>
    <w:rsid w:val="00A112DB"/>
    <w:rsid w:val="00A11BB9"/>
    <w:rsid w:val="00A22D75"/>
    <w:rsid w:val="00A335F6"/>
    <w:rsid w:val="00A34B5C"/>
    <w:rsid w:val="00A80B6D"/>
    <w:rsid w:val="00A934BA"/>
    <w:rsid w:val="00AB1797"/>
    <w:rsid w:val="00AB7D3D"/>
    <w:rsid w:val="00AC3F5D"/>
    <w:rsid w:val="00AE3533"/>
    <w:rsid w:val="00AE71F3"/>
    <w:rsid w:val="00AF0F3D"/>
    <w:rsid w:val="00AF66F6"/>
    <w:rsid w:val="00B34573"/>
    <w:rsid w:val="00BC3244"/>
    <w:rsid w:val="00BC585B"/>
    <w:rsid w:val="00BD2793"/>
    <w:rsid w:val="00C007AD"/>
    <w:rsid w:val="00C54428"/>
    <w:rsid w:val="00C56A11"/>
    <w:rsid w:val="00C634D9"/>
    <w:rsid w:val="00C757A7"/>
    <w:rsid w:val="00CB62F0"/>
    <w:rsid w:val="00CC4A1B"/>
    <w:rsid w:val="00CD180D"/>
    <w:rsid w:val="00D00BA6"/>
    <w:rsid w:val="00D01F97"/>
    <w:rsid w:val="00D1113C"/>
    <w:rsid w:val="00D141BD"/>
    <w:rsid w:val="00D40E52"/>
    <w:rsid w:val="00D707AD"/>
    <w:rsid w:val="00D81706"/>
    <w:rsid w:val="00D97A64"/>
    <w:rsid w:val="00DB0065"/>
    <w:rsid w:val="00DD2268"/>
    <w:rsid w:val="00DD6AC4"/>
    <w:rsid w:val="00E148C5"/>
    <w:rsid w:val="00E21D3C"/>
    <w:rsid w:val="00E255D2"/>
    <w:rsid w:val="00E32B36"/>
    <w:rsid w:val="00E40A99"/>
    <w:rsid w:val="00E9214A"/>
    <w:rsid w:val="00E946C0"/>
    <w:rsid w:val="00EE2D5C"/>
    <w:rsid w:val="00EF1481"/>
    <w:rsid w:val="00F326DC"/>
    <w:rsid w:val="00F32AFF"/>
    <w:rsid w:val="00F4517C"/>
    <w:rsid w:val="00F64301"/>
    <w:rsid w:val="00F86288"/>
    <w:rsid w:val="00FA5C98"/>
    <w:rsid w:val="00FD38F7"/>
    <w:rsid w:val="00FD6EB5"/>
    <w:rsid w:val="00FF6078"/>
    <w:rsid w:val="015E6884"/>
    <w:rsid w:val="022A73A0"/>
    <w:rsid w:val="02A73765"/>
    <w:rsid w:val="02C705A2"/>
    <w:rsid w:val="02CD50D6"/>
    <w:rsid w:val="02FE4DDB"/>
    <w:rsid w:val="03055103"/>
    <w:rsid w:val="036614DE"/>
    <w:rsid w:val="037E6D6A"/>
    <w:rsid w:val="043E407E"/>
    <w:rsid w:val="0473678B"/>
    <w:rsid w:val="04BF28DC"/>
    <w:rsid w:val="04DB5A0A"/>
    <w:rsid w:val="04F253AD"/>
    <w:rsid w:val="04FE5AF0"/>
    <w:rsid w:val="052D0A47"/>
    <w:rsid w:val="05B76D62"/>
    <w:rsid w:val="060C68AF"/>
    <w:rsid w:val="06280BA3"/>
    <w:rsid w:val="066E7CA6"/>
    <w:rsid w:val="06E814B3"/>
    <w:rsid w:val="07247F07"/>
    <w:rsid w:val="07453E91"/>
    <w:rsid w:val="07807502"/>
    <w:rsid w:val="078F5AA5"/>
    <w:rsid w:val="07A95162"/>
    <w:rsid w:val="07D6127C"/>
    <w:rsid w:val="084D40F7"/>
    <w:rsid w:val="093814E8"/>
    <w:rsid w:val="093C4240"/>
    <w:rsid w:val="09713483"/>
    <w:rsid w:val="09B63CA5"/>
    <w:rsid w:val="09CE3EDF"/>
    <w:rsid w:val="09D154C9"/>
    <w:rsid w:val="09DB7BDC"/>
    <w:rsid w:val="0A265396"/>
    <w:rsid w:val="0ABE7597"/>
    <w:rsid w:val="0B011C95"/>
    <w:rsid w:val="0B585209"/>
    <w:rsid w:val="0BB5608B"/>
    <w:rsid w:val="0BEC6006"/>
    <w:rsid w:val="0C1C6E9F"/>
    <w:rsid w:val="0C462D5C"/>
    <w:rsid w:val="0C7835BF"/>
    <w:rsid w:val="0C897635"/>
    <w:rsid w:val="0CF70AD5"/>
    <w:rsid w:val="0D42705A"/>
    <w:rsid w:val="0D7457BD"/>
    <w:rsid w:val="0D82733D"/>
    <w:rsid w:val="0DC61A68"/>
    <w:rsid w:val="0DCF1171"/>
    <w:rsid w:val="0E4F6FC4"/>
    <w:rsid w:val="0E5232CD"/>
    <w:rsid w:val="0E7E3CB0"/>
    <w:rsid w:val="0F4B09D3"/>
    <w:rsid w:val="0F6D45A9"/>
    <w:rsid w:val="0F712210"/>
    <w:rsid w:val="0F937F06"/>
    <w:rsid w:val="0FC91CB4"/>
    <w:rsid w:val="102941B5"/>
    <w:rsid w:val="10CE66A2"/>
    <w:rsid w:val="10F845FF"/>
    <w:rsid w:val="11610717"/>
    <w:rsid w:val="116620D4"/>
    <w:rsid w:val="117D5C2C"/>
    <w:rsid w:val="12E87EE4"/>
    <w:rsid w:val="1386420E"/>
    <w:rsid w:val="13B33091"/>
    <w:rsid w:val="13CE3A28"/>
    <w:rsid w:val="141B5992"/>
    <w:rsid w:val="144931CD"/>
    <w:rsid w:val="14847F58"/>
    <w:rsid w:val="151733F1"/>
    <w:rsid w:val="15805901"/>
    <w:rsid w:val="15BD7060"/>
    <w:rsid w:val="168C2F3F"/>
    <w:rsid w:val="17201851"/>
    <w:rsid w:val="182A7068"/>
    <w:rsid w:val="184E1945"/>
    <w:rsid w:val="18C04DA6"/>
    <w:rsid w:val="1914584E"/>
    <w:rsid w:val="193E07C4"/>
    <w:rsid w:val="19C9634C"/>
    <w:rsid w:val="19F41442"/>
    <w:rsid w:val="1A0F24DC"/>
    <w:rsid w:val="1A7C511D"/>
    <w:rsid w:val="1AB5317B"/>
    <w:rsid w:val="1ABA18CA"/>
    <w:rsid w:val="1AD734D7"/>
    <w:rsid w:val="1B0E7427"/>
    <w:rsid w:val="1B123CDB"/>
    <w:rsid w:val="1B27032A"/>
    <w:rsid w:val="1B3D6AD2"/>
    <w:rsid w:val="1C440198"/>
    <w:rsid w:val="1CE623D6"/>
    <w:rsid w:val="1D244B0A"/>
    <w:rsid w:val="1D4C5613"/>
    <w:rsid w:val="1D7274E7"/>
    <w:rsid w:val="1D934DF7"/>
    <w:rsid w:val="1DB91894"/>
    <w:rsid w:val="1DC70C77"/>
    <w:rsid w:val="1DD8325C"/>
    <w:rsid w:val="1E94271D"/>
    <w:rsid w:val="1F5A7593"/>
    <w:rsid w:val="1F66158E"/>
    <w:rsid w:val="1F923DE3"/>
    <w:rsid w:val="204871E6"/>
    <w:rsid w:val="20894C79"/>
    <w:rsid w:val="21611269"/>
    <w:rsid w:val="21684FA1"/>
    <w:rsid w:val="21CB18BC"/>
    <w:rsid w:val="22445320"/>
    <w:rsid w:val="227228C8"/>
    <w:rsid w:val="23D0287E"/>
    <w:rsid w:val="23F92929"/>
    <w:rsid w:val="241E1146"/>
    <w:rsid w:val="248F118D"/>
    <w:rsid w:val="24A90475"/>
    <w:rsid w:val="25222FE3"/>
    <w:rsid w:val="26176E7E"/>
    <w:rsid w:val="262B6247"/>
    <w:rsid w:val="26424B17"/>
    <w:rsid w:val="26CD7776"/>
    <w:rsid w:val="27346553"/>
    <w:rsid w:val="278542BB"/>
    <w:rsid w:val="28262BD6"/>
    <w:rsid w:val="282D2075"/>
    <w:rsid w:val="287D37C7"/>
    <w:rsid w:val="28F039B6"/>
    <w:rsid w:val="294B2CEA"/>
    <w:rsid w:val="298266E7"/>
    <w:rsid w:val="298E75E3"/>
    <w:rsid w:val="29A5000B"/>
    <w:rsid w:val="29AF561F"/>
    <w:rsid w:val="2A351B1D"/>
    <w:rsid w:val="2A4B433E"/>
    <w:rsid w:val="2A693A20"/>
    <w:rsid w:val="2A7F4FF2"/>
    <w:rsid w:val="2A8A68CF"/>
    <w:rsid w:val="2ABD43D7"/>
    <w:rsid w:val="2ADE4BF7"/>
    <w:rsid w:val="2B59267F"/>
    <w:rsid w:val="2C9C5862"/>
    <w:rsid w:val="2C9F3729"/>
    <w:rsid w:val="2CD15CF9"/>
    <w:rsid w:val="2CDC1CAC"/>
    <w:rsid w:val="2CDF2FBE"/>
    <w:rsid w:val="2CE76A45"/>
    <w:rsid w:val="2D312279"/>
    <w:rsid w:val="2D8D660E"/>
    <w:rsid w:val="2D8F5297"/>
    <w:rsid w:val="2D9333B5"/>
    <w:rsid w:val="2D9D2412"/>
    <w:rsid w:val="2DBB15EE"/>
    <w:rsid w:val="2DBD2EFB"/>
    <w:rsid w:val="2E352597"/>
    <w:rsid w:val="2EBA64CC"/>
    <w:rsid w:val="2EEF3D56"/>
    <w:rsid w:val="2EFC2199"/>
    <w:rsid w:val="2F2821A3"/>
    <w:rsid w:val="2F4116DA"/>
    <w:rsid w:val="2F691172"/>
    <w:rsid w:val="2F8C189E"/>
    <w:rsid w:val="30925621"/>
    <w:rsid w:val="31126BC0"/>
    <w:rsid w:val="313E0D04"/>
    <w:rsid w:val="315D2087"/>
    <w:rsid w:val="315D3D19"/>
    <w:rsid w:val="321A535A"/>
    <w:rsid w:val="32B55A55"/>
    <w:rsid w:val="33217059"/>
    <w:rsid w:val="33762162"/>
    <w:rsid w:val="340F6968"/>
    <w:rsid w:val="3433543C"/>
    <w:rsid w:val="34EC3BCC"/>
    <w:rsid w:val="359F3DC7"/>
    <w:rsid w:val="364517E5"/>
    <w:rsid w:val="36966F0E"/>
    <w:rsid w:val="37130289"/>
    <w:rsid w:val="372E39DF"/>
    <w:rsid w:val="37CE75B8"/>
    <w:rsid w:val="381A0E63"/>
    <w:rsid w:val="38443A10"/>
    <w:rsid w:val="385E2FE6"/>
    <w:rsid w:val="387C56EF"/>
    <w:rsid w:val="38C15D6F"/>
    <w:rsid w:val="38C43A55"/>
    <w:rsid w:val="390A1495"/>
    <w:rsid w:val="390C6928"/>
    <w:rsid w:val="39245C09"/>
    <w:rsid w:val="39F12D88"/>
    <w:rsid w:val="3A1E3451"/>
    <w:rsid w:val="3A2B65EA"/>
    <w:rsid w:val="3AAF36D1"/>
    <w:rsid w:val="3ACF0C29"/>
    <w:rsid w:val="3B206C00"/>
    <w:rsid w:val="3BD86C58"/>
    <w:rsid w:val="3C6210A8"/>
    <w:rsid w:val="3CA84D6A"/>
    <w:rsid w:val="3CBD06FC"/>
    <w:rsid w:val="3CF27344"/>
    <w:rsid w:val="3D424389"/>
    <w:rsid w:val="3EAD396E"/>
    <w:rsid w:val="3EAD43CC"/>
    <w:rsid w:val="3F0F4FB2"/>
    <w:rsid w:val="3FA04660"/>
    <w:rsid w:val="3FD37E62"/>
    <w:rsid w:val="401B73D5"/>
    <w:rsid w:val="409463A3"/>
    <w:rsid w:val="41344930"/>
    <w:rsid w:val="414E4D29"/>
    <w:rsid w:val="41847DAD"/>
    <w:rsid w:val="41C23CEA"/>
    <w:rsid w:val="41F81F99"/>
    <w:rsid w:val="421B33FA"/>
    <w:rsid w:val="422142DF"/>
    <w:rsid w:val="432921D3"/>
    <w:rsid w:val="437213F6"/>
    <w:rsid w:val="43B12268"/>
    <w:rsid w:val="43D9764D"/>
    <w:rsid w:val="44890926"/>
    <w:rsid w:val="44F07327"/>
    <w:rsid w:val="44F13479"/>
    <w:rsid w:val="45457A01"/>
    <w:rsid w:val="458E4C55"/>
    <w:rsid w:val="45F66EC0"/>
    <w:rsid w:val="45FC7AD7"/>
    <w:rsid w:val="460A1702"/>
    <w:rsid w:val="46102F69"/>
    <w:rsid w:val="461323BD"/>
    <w:rsid w:val="46331183"/>
    <w:rsid w:val="465C4469"/>
    <w:rsid w:val="471F510B"/>
    <w:rsid w:val="47317534"/>
    <w:rsid w:val="476E6DE8"/>
    <w:rsid w:val="480418F7"/>
    <w:rsid w:val="481E05A2"/>
    <w:rsid w:val="483D3C94"/>
    <w:rsid w:val="4878363C"/>
    <w:rsid w:val="487D4CE0"/>
    <w:rsid w:val="490F7AD2"/>
    <w:rsid w:val="494301F7"/>
    <w:rsid w:val="4952262E"/>
    <w:rsid w:val="498C1259"/>
    <w:rsid w:val="49AA46EA"/>
    <w:rsid w:val="49DB70D1"/>
    <w:rsid w:val="4A530618"/>
    <w:rsid w:val="4AA30431"/>
    <w:rsid w:val="4B4A3A22"/>
    <w:rsid w:val="4B6704D7"/>
    <w:rsid w:val="4BA55DEE"/>
    <w:rsid w:val="4BB00240"/>
    <w:rsid w:val="4C8978AB"/>
    <w:rsid w:val="4CDE27F3"/>
    <w:rsid w:val="4D252B89"/>
    <w:rsid w:val="4D60260A"/>
    <w:rsid w:val="4D6F2035"/>
    <w:rsid w:val="4DE97690"/>
    <w:rsid w:val="4E0062C7"/>
    <w:rsid w:val="4EA72E63"/>
    <w:rsid w:val="4F1915C0"/>
    <w:rsid w:val="4FC12EEB"/>
    <w:rsid w:val="50164862"/>
    <w:rsid w:val="504B3A24"/>
    <w:rsid w:val="50B719A2"/>
    <w:rsid w:val="514135E6"/>
    <w:rsid w:val="5187429B"/>
    <w:rsid w:val="51E569AA"/>
    <w:rsid w:val="51FC5377"/>
    <w:rsid w:val="520A3F74"/>
    <w:rsid w:val="522C75B3"/>
    <w:rsid w:val="524317A1"/>
    <w:rsid w:val="52475A6B"/>
    <w:rsid w:val="5278350D"/>
    <w:rsid w:val="52F757BE"/>
    <w:rsid w:val="5315050D"/>
    <w:rsid w:val="532B7C93"/>
    <w:rsid w:val="53C14905"/>
    <w:rsid w:val="53C17238"/>
    <w:rsid w:val="544D0EC1"/>
    <w:rsid w:val="54550C9C"/>
    <w:rsid w:val="55232F3D"/>
    <w:rsid w:val="557A1D0B"/>
    <w:rsid w:val="561B04F2"/>
    <w:rsid w:val="566804B5"/>
    <w:rsid w:val="56711D38"/>
    <w:rsid w:val="56EB7DFC"/>
    <w:rsid w:val="57036261"/>
    <w:rsid w:val="573159EC"/>
    <w:rsid w:val="573963E7"/>
    <w:rsid w:val="573C1BD3"/>
    <w:rsid w:val="57540135"/>
    <w:rsid w:val="57605AAE"/>
    <w:rsid w:val="57717409"/>
    <w:rsid w:val="57821C5F"/>
    <w:rsid w:val="579E2A8C"/>
    <w:rsid w:val="57D83FED"/>
    <w:rsid w:val="57F511B5"/>
    <w:rsid w:val="58042A09"/>
    <w:rsid w:val="581058C6"/>
    <w:rsid w:val="58922210"/>
    <w:rsid w:val="589734F2"/>
    <w:rsid w:val="589B7C23"/>
    <w:rsid w:val="59DB1B5F"/>
    <w:rsid w:val="59E42A83"/>
    <w:rsid w:val="5A2028FF"/>
    <w:rsid w:val="5B6A7D08"/>
    <w:rsid w:val="5BBE0478"/>
    <w:rsid w:val="5BDA4AFE"/>
    <w:rsid w:val="5BDB5999"/>
    <w:rsid w:val="5BE84DDE"/>
    <w:rsid w:val="5C115B42"/>
    <w:rsid w:val="5C1E2A73"/>
    <w:rsid w:val="5C5504D2"/>
    <w:rsid w:val="5CD856E3"/>
    <w:rsid w:val="5CDD1C2D"/>
    <w:rsid w:val="5CF95F59"/>
    <w:rsid w:val="5D34054A"/>
    <w:rsid w:val="5DA12EF6"/>
    <w:rsid w:val="5DCC53EA"/>
    <w:rsid w:val="5DF52475"/>
    <w:rsid w:val="5E30377E"/>
    <w:rsid w:val="5E3574D4"/>
    <w:rsid w:val="5EDB6674"/>
    <w:rsid w:val="5F586E1A"/>
    <w:rsid w:val="601122FA"/>
    <w:rsid w:val="608163D5"/>
    <w:rsid w:val="60B2476A"/>
    <w:rsid w:val="60EE6F87"/>
    <w:rsid w:val="611E380B"/>
    <w:rsid w:val="61E52848"/>
    <w:rsid w:val="62FD54B9"/>
    <w:rsid w:val="630453E7"/>
    <w:rsid w:val="63185A5A"/>
    <w:rsid w:val="634A5006"/>
    <w:rsid w:val="63870057"/>
    <w:rsid w:val="63D920BE"/>
    <w:rsid w:val="63DF2082"/>
    <w:rsid w:val="642E715A"/>
    <w:rsid w:val="64414AEB"/>
    <w:rsid w:val="64600B31"/>
    <w:rsid w:val="64815ABD"/>
    <w:rsid w:val="65260EA9"/>
    <w:rsid w:val="6526621F"/>
    <w:rsid w:val="6551044C"/>
    <w:rsid w:val="663F32AC"/>
    <w:rsid w:val="66B20872"/>
    <w:rsid w:val="66FE3A08"/>
    <w:rsid w:val="67380427"/>
    <w:rsid w:val="678E4256"/>
    <w:rsid w:val="67972F1E"/>
    <w:rsid w:val="67EE68CB"/>
    <w:rsid w:val="680C6625"/>
    <w:rsid w:val="6881195A"/>
    <w:rsid w:val="6A0434B3"/>
    <w:rsid w:val="6A066A76"/>
    <w:rsid w:val="6A524488"/>
    <w:rsid w:val="6A804EF2"/>
    <w:rsid w:val="6A971908"/>
    <w:rsid w:val="6AF66902"/>
    <w:rsid w:val="6B480735"/>
    <w:rsid w:val="6BAC2C0B"/>
    <w:rsid w:val="6BF30DC0"/>
    <w:rsid w:val="6CC73384"/>
    <w:rsid w:val="6D6D0B45"/>
    <w:rsid w:val="6DD62184"/>
    <w:rsid w:val="6E192634"/>
    <w:rsid w:val="6E890C0D"/>
    <w:rsid w:val="6EA66863"/>
    <w:rsid w:val="6F8557CC"/>
    <w:rsid w:val="70234DFB"/>
    <w:rsid w:val="70B15E4D"/>
    <w:rsid w:val="722263AA"/>
    <w:rsid w:val="72301086"/>
    <w:rsid w:val="72443E0C"/>
    <w:rsid w:val="727F78E4"/>
    <w:rsid w:val="72BB1022"/>
    <w:rsid w:val="73084835"/>
    <w:rsid w:val="733A7128"/>
    <w:rsid w:val="73442687"/>
    <w:rsid w:val="73701AB5"/>
    <w:rsid w:val="738A49B5"/>
    <w:rsid w:val="73E4715F"/>
    <w:rsid w:val="73F964D7"/>
    <w:rsid w:val="74007BC6"/>
    <w:rsid w:val="742959A7"/>
    <w:rsid w:val="74E77DCA"/>
    <w:rsid w:val="75565FB6"/>
    <w:rsid w:val="75660212"/>
    <w:rsid w:val="75A86778"/>
    <w:rsid w:val="75AA6994"/>
    <w:rsid w:val="75C96B43"/>
    <w:rsid w:val="75D3171F"/>
    <w:rsid w:val="763567F4"/>
    <w:rsid w:val="768253C4"/>
    <w:rsid w:val="76AB1BE4"/>
    <w:rsid w:val="76B70674"/>
    <w:rsid w:val="76BF04D0"/>
    <w:rsid w:val="76C56A0A"/>
    <w:rsid w:val="76DA52BB"/>
    <w:rsid w:val="770E2676"/>
    <w:rsid w:val="772E00BE"/>
    <w:rsid w:val="77492494"/>
    <w:rsid w:val="77813A26"/>
    <w:rsid w:val="77917835"/>
    <w:rsid w:val="77B50811"/>
    <w:rsid w:val="77ED40F4"/>
    <w:rsid w:val="7827378D"/>
    <w:rsid w:val="786F4330"/>
    <w:rsid w:val="7945405D"/>
    <w:rsid w:val="7A0128FA"/>
    <w:rsid w:val="7A304F8E"/>
    <w:rsid w:val="7AB76B8A"/>
    <w:rsid w:val="7ACD15DB"/>
    <w:rsid w:val="7ADD5191"/>
    <w:rsid w:val="7AEC7106"/>
    <w:rsid w:val="7AEE59E1"/>
    <w:rsid w:val="7B047624"/>
    <w:rsid w:val="7BB930B8"/>
    <w:rsid w:val="7C6B1BC5"/>
    <w:rsid w:val="7CA659DB"/>
    <w:rsid w:val="7CB43F75"/>
    <w:rsid w:val="7CE54755"/>
    <w:rsid w:val="7D1B797D"/>
    <w:rsid w:val="7D2A4717"/>
    <w:rsid w:val="7D373D65"/>
    <w:rsid w:val="7D491D39"/>
    <w:rsid w:val="7D5B2DE4"/>
    <w:rsid w:val="7DB60B20"/>
    <w:rsid w:val="7DFD659E"/>
    <w:rsid w:val="7E870994"/>
    <w:rsid w:val="7EC04826"/>
    <w:rsid w:val="7EC172D3"/>
    <w:rsid w:val="7ED13127"/>
    <w:rsid w:val="7F097800"/>
    <w:rsid w:val="7F3777EE"/>
    <w:rsid w:val="7F555366"/>
    <w:rsid w:val="7F800EA0"/>
    <w:rsid w:val="7FFF138C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 w:qFormat="1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 w:semiHidden="0" w:uiPriority="0" w:unhideWhenUsed="0" w:qFormat="1"/>
    <w:lsdException w:name="E-mail Signature"/>
    <w:lsdException w:name="Normal (Web)" w:qFormat="1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 w:semiHidden="0" w:qFormat="1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 w:semiHidden="0" w:unhideWhenUsed="0"/>
    <w:lsdException w:name="Table Subtle 2"/>
    <w:lsdException w:name="Table Web 1"/>
    <w:lsdException w:name="Table Web 2" w:semiHidden="0" w:unhideWhenUsed="0"/>
    <w:lsdException w:name="Table Web 3" w:semiHidden="0" w:unhideWhenUsed="0"/>
    <w:lsdException w:name="Balloon Text" w:qFormat="1"/>
    <w:lsdException w:name="Table Grid" w:semiHidden="0" w:uiPriority="59" w:unhideWhenUsed="0" w:qFormat="1"/>
    <w:lsdException w:name="Table Theme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PlainText">
    <w:name w:val="Plain Text"/>
    <w:basedOn w:val="Normal"/>
    <w:qFormat/>
    <w:rPr>
      <w:rFonts w:ascii="宋体" w:hAnsi="Courier New"/>
      <w:szCs w:val="20"/>
    </w:rPr>
  </w:style>
  <w:style w:type="paragraph" w:styleId="BalloonText">
    <w:name w:val="Balloon Text"/>
    <w:basedOn w:val="Normal"/>
    <w:link w:val="Char0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Preformatted">
    <w:name w:val="HTML Preformatted"/>
    <w:basedOn w:val="Normal"/>
    <w:uiPriority w:val="99"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qFormat/>
    <w:rPr>
      <w:color w:val="0000FF"/>
      <w:u w:val="single"/>
    </w:r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页眉 Char1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2">
    <w:name w:val="页眉 Char"/>
    <w:qFormat/>
    <w:rPr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6pt">
    <w:name w:val="Body 6pt"/>
    <w:basedOn w:val="Normal"/>
    <w:qFormat/>
    <w:pPr>
      <w:spacing w:before="40" w:after="40"/>
    </w:pPr>
    <w:rPr>
      <w:rFonts w:eastAsia="Times New Roman"/>
      <w:sz w:val="12"/>
      <w:szCs w:val="20"/>
      <w:lang w:val="de-DE" w:eastAsia="de-DE"/>
    </w:rPr>
  </w:style>
  <w:style w:type="paragraph" w:customStyle="1" w:styleId="Header9ptBoldCentered">
    <w:name w:val="Header 9pt Bold Centered"/>
    <w:basedOn w:val="Normal"/>
    <w:qFormat/>
    <w:pPr>
      <w:spacing w:before="20" w:after="20"/>
      <w:jc w:val="center"/>
    </w:pPr>
    <w:rPr>
      <w:rFonts w:eastAsia="Times New Roman"/>
      <w:b/>
      <w:sz w:val="18"/>
      <w:szCs w:val="20"/>
      <w:lang w:val="de-DE" w:eastAsia="de-DE"/>
    </w:rPr>
  </w:style>
  <w:style w:type="paragraph" w:customStyle="1" w:styleId="TMaccreditation">
    <w:name w:val="TM_accreditation"/>
    <w:basedOn w:val="Normal"/>
    <w:qFormat/>
    <w:pPr>
      <w:spacing w:before="40" w:after="40"/>
    </w:pPr>
    <w:rPr>
      <w:rFonts w:eastAsia="Times New Roman"/>
      <w:sz w:val="20"/>
      <w:szCs w:val="20"/>
      <w:lang w:val="en-GB" w:eastAsia="de-DE"/>
    </w:rPr>
  </w:style>
  <w:style w:type="paragraph" w:customStyle="1" w:styleId="ListDotDe10pt">
    <w:name w:val="List Dot De 10pt"/>
    <w:basedOn w:val="Normal"/>
    <w:qFormat/>
    <w:pPr>
      <w:keepLines/>
      <w:tabs>
        <w:tab w:val="left" w:pos="284"/>
      </w:tabs>
      <w:spacing w:before="40"/>
      <w:ind w:left="284" w:hanging="284"/>
    </w:pPr>
    <w:rPr>
      <w:rFonts w:eastAsia="Times New Roman"/>
      <w:snapToGrid w:val="0"/>
      <w:sz w:val="20"/>
      <w:szCs w:val="20"/>
      <w:lang w:val="de-DE" w:eastAsia="de-DE"/>
    </w:rPr>
  </w:style>
  <w:style w:type="paragraph" w:styleId="NoSpacing">
    <w:name w:val="No Spacing"/>
    <w:uiPriority w:val="1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paragraph" w:customStyle="1" w:styleId="Header9ptTableCentered">
    <w:name w:val="Header 9pt Table Centered"/>
    <w:basedOn w:val="Normal"/>
    <w:qFormat/>
    <w:pPr>
      <w:spacing w:before="40" w:after="40"/>
      <w:jc w:val="center"/>
    </w:pPr>
    <w:rPr>
      <w:rFonts w:ascii="Arial" w:hAnsi="Arial" w:cs="Arial"/>
      <w:b/>
      <w:bCs/>
      <w:snapToGrid w:val="0"/>
      <w:kern w:val="0"/>
      <w:sz w:val="18"/>
      <w:szCs w:val="18"/>
      <w:lang w:val="de-DE" w:eastAsia="de-DE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818</Words>
  <Characters>999</Characters>
  <Application>Microsoft Office Word</Application>
  <DocSecurity>0</DocSecurity>
  <Lines>7</Lines>
  <Paragraphs>2</Paragraphs>
  <ScaleCrop>false</ScaleCrop>
  <Company>微软中国</Company>
  <LinksUpToDate>false</LinksUpToDate>
  <CharactersWithSpaces>1019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78</cp:revision>
  <cp:lastPrinted>2019-05-13T03:19:00Z</cp:lastPrinted>
  <dcterms:created xsi:type="dcterms:W3CDTF">2015-06-17T14:51:00Z</dcterms:created>
  <dcterms:modified xsi:type="dcterms:W3CDTF">2025-10-17T01:28:20Z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9F05DF27C0F74000B1740FF9DAF80C1E_13</vt:lpwstr>
  </property>
  <property fmtid="{D5CDD505-2E9C-101B-9397-08002B2CF9AE}" pid="3" name="KSOProductBuildVer">
    <vt:lpwstr>2052-12.1.0.19302</vt:lpwstr>
  </property>
  <property fmtid="{D5CDD505-2E9C-101B-9397-08002B2CF9AE}" pid="4" name="KSOTemplateDocerSaveRecord">
    <vt:lpwstr>eyJoZGlkIjoiYmE0MDExODg0MWUxZmE2YjU0ZDZmOTdkODg5ZTE1NDYifQ==</vt:lpwstr>
  </property>
</Properties>
</file>