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10845-2025-EI</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002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石家庄市宇鑫防爆工具有限责任公司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98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石家庄市宇鑫防爆工具有限责任公司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ISC-22240-EI</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诚信管理体系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31950-2023 《企业诚信管理体系 要求》</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2025年07月21日下午至2025年07月22日下午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EI:铝青铜、铍青铜手动防爆工具的生产所涉及的诚信管理活动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石家庄市鹿泉区新北路1号</w:t>
      </w:r>
    </w:p>
    <w:p w14:paraId="5FB2C4BD">
      <w:pPr>
        <w:spacing w:line="360" w:lineRule="auto"/>
        <w:ind w:firstLine="420" w:firstLineChars="200"/>
      </w:pPr>
      <w:r>
        <w:rPr>
          <w:rFonts w:hint="eastAsia"/>
        </w:rPr>
        <w:t>办公地址：</w:t>
      </w:r>
      <w:r>
        <w:rPr>
          <w:rFonts w:hint="eastAsia"/>
        </w:rPr>
        <w:t>河北省石家庄市井陉县上安镇上安西村(镇政府西700米)</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河北省石家庄市井陉县上安镇上安西村(镇政府西700米)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石家庄市宇鑫防爆工具有限责任公司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82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