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陕西华西牧业有限责任公司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王亚芬、罗妮妮、王敏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罗妮妮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35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