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10627-2025-EnMS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967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北京仲量联行物业管理服务有限公司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贾海平、孙妍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762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北京仲量联行物业管理服务有限公司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2024-N1EnMS-1287023</w:t>
            </w:r>
          </w:p>
        </w:tc>
        <w:tc>
          <w:tcPr>
            <w:tcW w:w="3145" w:type="dxa"/>
            <w:vAlign w:val="center"/>
          </w:tcPr>
          <w:p w14:paraId="1EF07270">
            <w:pPr>
              <w:spacing w:line="360" w:lineRule="exact"/>
              <w:jc w:val="center"/>
              <w:rPr>
                <w:szCs w:val="21"/>
              </w:rPr>
            </w:pPr>
            <w:r>
              <w:t>2.9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孙妍</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2024-N0EnMS-1230378</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2025年05月27日上午至2025年05月29日下午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EnMS:写字楼、住宅和商业物业管理服务所涉及的能源管理活动所涉及的能源管理活动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北京市朝阳区针织路23号楼8层806B单元</w:t>
      </w:r>
    </w:p>
    <w:p w14:paraId="5FB2C4BD">
      <w:pPr>
        <w:spacing w:line="360" w:lineRule="auto"/>
        <w:ind w:firstLine="420" w:firstLineChars="200"/>
      </w:pPr>
      <w:r>
        <w:rPr>
          <w:rFonts w:hint="eastAsia"/>
        </w:rPr>
        <w:t>办公地址：</w:t>
      </w:r>
      <w:r>
        <w:rPr>
          <w:rFonts w:hint="eastAsia"/>
        </w:rPr>
        <w:t>北京市朝阳区针织路23号楼8层806B单元</w:t>
      </w:r>
    </w:p>
    <w:p w14:paraId="3E2A92FF">
      <w:pPr>
        <w:spacing w:line="360" w:lineRule="auto"/>
        <w:ind w:firstLine="420" w:firstLineChars="200"/>
      </w:pPr>
      <w:r>
        <w:rPr>
          <w:rFonts w:hint="eastAsia"/>
        </w:rPr>
        <w:t>经营地址：</w:t>
      </w:r>
      <w:bookmarkStart w:id="14" w:name="生产地址"/>
      <w:bookmarkEnd w:id="14"/>
      <w:r>
        <w:rPr>
          <w:rFonts w:hint="eastAsia"/>
        </w:rPr>
        <w:t>北京市朝阳区针织路23号楼8层806B单元</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08:30至2025年05月26日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北京仲量联行物业管理服务有限公司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贾海平、孙妍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106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