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21018-2025-QEO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资阳资味供应链管理有限公司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巫传莲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91512000MA7NJF1522</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O:认可,E:认可,Q:认可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□变更 ■补充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资阳资味供应链管理有限公司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四川省资阳市雁江区娇子大道二段401号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四川省资阳市天王农副产品交易中心5-2交易41-45号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O:食用农产品、资质许可范围内散装食品和预包装食品的销售所涉及场所的相关职业健康安全管理活动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E:食用农产品、资质许可范围内散装食品和预包装食品的销售所涉及场所的相关环境管理活动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Q:食用农产品、资质许可范围内散装食品和预包装食品的销售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资阳资味供应链管理有限公司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四川省资阳市雁江区娇子大道二段401号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四川省资阳市天王农副产品交易中心5-2交易41-45号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O:食用农产品、资质许可范围内散装食品和预包装食品的销售所涉及场所的相关职业健康安全管理活动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E:食用农产品、资质许可范围内散装食品和预包装食品的销售所涉及场所的相关环境管理活动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Q:食用农产品、资质许可范围内散装食品和预包装食品的销售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643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