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河北惠尔普办公家具有限公司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9001:2015、GB/T 24001-2016/ISO 14001:2015、GB/T 45001-2020/ISO 45001:2018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10174-2026-QES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2024-N1EMS-4205805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朱晓丽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2025-N1OHSMS-2205805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2025-N1EMS-1329684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范俊波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2025-N1OHSMS-1329684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2026年03月28日 08:30至2026年03月29日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332261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