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10764-2025-QEOF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苏州万千景贸易有限公司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91320508MA1MXF7K8X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F:未认可,O:认可,Q:认可,E:认可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22000:2018、GB/T45001-2020 / ISO45001：2018、GB/T19001-2016/ISO9001:2015、GB/T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苏州万千景贸易有限公司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F:位于苏州市姑苏区新郭港路 128号友新农产品市场裙楼东1-79号商铺的苏州万千景贸易有限公司商铺内新鲜水产品的销售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O:新鲜水产品的销售所涉及场所的相关职业健康安全管理活动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Q:新鲜水产品的销售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E:新鲜水产品的销售所涉及场所的相关环境管理活动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苏州万千景贸易有限公司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F:位于苏州市姑苏区新郭港路 128号友新农产品市场裙楼东1-79号商铺的苏州万千景贸易有限公司商铺内新鲜水产品的销售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O:新鲜水产品的销售所涉及场所的相关职业健康安全管理活动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Q:新鲜水产品的销售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E:新鲜水产品的销售所涉及场所的相关环境管理活动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0133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