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11094-2025-EnMS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北京易艾斯德科技有限公司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贾海平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91110108723958802Q</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北京易艾斯德科技有限公司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北京市朝阳区霞光里15号楼16层1单元1909</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北京市朝阳区霞光里15号楼16层1单元1909</w:t>
            </w:r>
          </w:p>
          <w:p w14:paraId="21CBAE7B">
            <w:pPr>
              <w:snapToGrid w:val="0"/>
              <w:spacing w:line="0" w:lineRule="atLeast"/>
              <w:jc w:val="left"/>
              <w:rPr>
                <w:rFonts w:hint="eastAsia"/>
                <w:sz w:val="21"/>
                <w:szCs w:val="21"/>
              </w:rPr>
            </w:pPr>
            <w:r>
              <w:rPr>
                <w:rFonts w:hint="eastAsia"/>
                <w:sz w:val="21"/>
                <w:szCs w:val="21"/>
              </w:rPr>
              <w:t>北京易艾斯德科技有限公司 北京市顺义区顺强路1号 嘉德工场2号楼三层</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EnMS:智能终端产品的设计、开发、制造((含硬件、软件)所涉及的能源管理活动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北京易艾斯德科技有限公司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北京市朝阳区霞光里15号楼16层1单元1909</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北京市朝阳区霞光里15号楼16层1单元1909</w:t>
            </w:r>
          </w:p>
          <w:p w14:paraId="47A1F75E">
            <w:pPr>
              <w:snapToGrid w:val="0"/>
              <w:spacing w:line="0" w:lineRule="atLeast"/>
              <w:jc w:val="left"/>
              <w:rPr>
                <w:rFonts w:hint="eastAsia"/>
                <w:sz w:val="21"/>
                <w:szCs w:val="21"/>
              </w:rPr>
            </w:pPr>
            <w:r>
              <w:rPr>
                <w:rFonts w:hint="eastAsia"/>
                <w:sz w:val="21"/>
                <w:szCs w:val="21"/>
              </w:rPr>
              <w:t>北京易艾斯德科技有限公司 北京市顺义区顺强路1号 嘉德工场2号楼三层</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EnMS:智能终端产品的设计、开发、制造((含硬件、软件)所涉及的能源管理活动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41182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