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麦斯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4日上午至2025年09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6440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