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20823-2025-QEO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广州商邦控股集团有限公司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杨冰</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91440111080351950G</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广州商邦控股集团有限公司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广州市白云区大源街锦石三路33号之二十五101房</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广州市白云区大源街锦石三路33号之二十五</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E:电子产品和汽车装饰用品销售所涉及场所的相关环境管理活动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Q:电子产品和汽车装饰用品销售</w:t>
            </w:r>
          </w:p>
          <w:p>
            <w:pPr>
              <w:snapToGrid w:val="0"/>
              <w:spacing w:line="0" w:lineRule="atLeast"/>
              <w:jc w:val="left"/>
              <w:rPr>
                <w:rFonts w:hint="eastAsia"/>
                <w:sz w:val="21"/>
                <w:szCs w:val="21"/>
                <w:lang w:val="en-GB"/>
              </w:rPr>
            </w:pPr>
            <w:r>
              <w:rPr>
                <w:rFonts w:hint="eastAsia"/>
                <w:sz w:val="21"/>
                <w:szCs w:val="21"/>
                <w:lang w:val="en-GB"/>
              </w:rPr>
              <w:t>O:电子产品和汽车装饰用品销售所涉及场所的相关职业健康安全管理活动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广州商邦控股集团有限公司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广州市白云区大源街锦石三路33号之二十五101房</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广州市白云区大源街锦石三路33号之二十五</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E:电子产品和汽车装饰用品销售所涉及场所的相关环境管理活动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Q:电子产品和汽车装饰用品销售</w:t>
            </w:r>
          </w:p>
          <w:p>
            <w:pPr>
              <w:snapToGrid w:val="0"/>
              <w:spacing w:line="0" w:lineRule="atLeast"/>
              <w:jc w:val="left"/>
              <w:rPr>
                <w:rFonts w:hint="eastAsia"/>
                <w:sz w:val="21"/>
                <w:szCs w:val="21"/>
                <w:lang w:val="en-GB"/>
              </w:rPr>
            </w:pPr>
            <w:r>
              <w:rPr>
                <w:rFonts w:hint="eastAsia"/>
                <w:sz w:val="21"/>
                <w:szCs w:val="21"/>
                <w:lang w:val="en-GB"/>
              </w:rPr>
              <w:t>O:电子产品和汽车装饰用品销售所涉及场所的相关职业健康安全管理活动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45329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