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冲瀚智能科技（北京）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21086-2025-SE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北京市通州区北苑155号2-16幢一层12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北京市通州区北苑155号2-16幢一层12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 27922-2011《商品售后服务评价体系》 、ISC-JSGF-06《商品售后服务成熟度认证技术规范》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家具（控制台、操作台）的设计开发、销售所涉及的售后服务成熟度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