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20237-2026-ES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3167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青岛百浪智能装备有限公司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孙博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孙博、常鹤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105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青岛百浪智能装备有限公司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孙博</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2024-N1OHSMS-1340209</w:t>
            </w:r>
          </w:p>
        </w:tc>
        <w:tc>
          <w:tcPr>
            <w:tcW w:w="3145" w:type="dxa"/>
            <w:vAlign w:val="center"/>
          </w:tcPr>
          <w:p w:rsidR="00B416F3">
            <w:pPr>
              <w:spacing w:line="360" w:lineRule="exact"/>
              <w:jc w:val="center"/>
              <w:rPr>
                <w:szCs w:val="21"/>
              </w:rPr>
            </w:pPr>
            <w:r>
              <w:t>18.05.07,29.10.07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孙博</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2024-N1EMS-1340209</w:t>
            </w:r>
          </w:p>
        </w:tc>
        <w:tc>
          <w:tcPr>
            <w:tcW w:w="3145" w:type="dxa"/>
            <w:vAlign w:val="center"/>
          </w:tcPr>
          <w:p w:rsidR="00B416F3">
            <w:pPr>
              <w:spacing w:line="360" w:lineRule="exact"/>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常鹤</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2024-N1OHSMS-3228569</w:t>
            </w:r>
          </w:p>
        </w:tc>
        <w:tc>
          <w:tcPr>
            <w:tcW w:w="3145" w:type="dxa"/>
            <w:vAlign w:val="center"/>
          </w:tcPr>
          <w:p w:rsidR="00B416F3">
            <w:pPr>
              <w:spacing w:line="360" w:lineRule="exact"/>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2024-N1EMS-3228569</w:t>
            </w:r>
          </w:p>
        </w:tc>
        <w:tc>
          <w:tcPr>
            <w:tcW w:w="3145" w:type="dxa"/>
            <w:vAlign w:val="center"/>
          </w:tcPr>
          <w:p>
            <w:pPr>
              <w:jc w:val="center"/>
            </w:pPr>
            <w:r>
              <w:t>18.05.07</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2026年03月24日上午至2026年03月26日上午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E:汽车零件自动化生产线及汽车行业用非标设备的设计开发、生产；机械设备、刀具、气动元件的销售所涉及场所的相关环境管理活动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S:汽车零件自动化生产线及汽车行业用非标设备的设计开发、生产；机械设备、刀具、气动元件的销售所涉及场所的相关职业健康安全管理活动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山东省青岛市黄岛区海青镇茶乡路40号北茶商街15号楼202室</w:t>
      </w:r>
    </w:p>
    <w:p w:rsidR="00B416F3">
      <w:pPr>
        <w:spacing w:line="360" w:lineRule="auto"/>
        <w:ind w:firstLine="420" w:firstLineChars="200"/>
      </w:pPr>
      <w:r>
        <w:rPr>
          <w:rFonts w:hint="eastAsia"/>
        </w:rPr>
        <w:t>办公地址：</w:t>
      </w:r>
      <w:r>
        <w:rPr>
          <w:rFonts w:hint="eastAsia"/>
        </w:rPr>
        <w:t>吉林省长春市绿园区夏利路777号</w:t>
      </w:r>
    </w:p>
    <w:p w:rsidR="00B416F3">
      <w:pPr>
        <w:spacing w:line="360" w:lineRule="auto"/>
        <w:ind w:firstLine="420" w:firstLineChars="200"/>
      </w:pPr>
      <w:r>
        <w:rPr>
          <w:rFonts w:hint="eastAsia"/>
        </w:rPr>
        <w:t>经营地址：</w:t>
      </w:r>
      <w:bookmarkStart w:id="14" w:name="生产地址"/>
      <w:bookmarkEnd w:id="14"/>
      <w:r>
        <w:rPr>
          <w:rFonts w:hint="eastAsia"/>
        </w:rPr>
        <w:t>吉林省长春市绿园区夏利路777号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2026年03月12日 08:30至2026年03月12日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青岛百浪智能装备有限公司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孙博、常鹤</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7209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