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10168-2026-ES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0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成都数智风科技有限公司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文平、刘晓珍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254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成都数智风科技有限公司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2024-N1EMS-4093566</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2025-N1OHSMS-4093566</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刘晓珍</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2025-N1EMS-1366543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E:计算机应用软件的开发所涉及场所的相关环境管理活动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S:计算机应用软件的开发所涉及场所的相关职业健康安全管理活动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成都市武侯区武青南路51号3栋5层501号</w:t>
      </w:r>
    </w:p>
    <w:p w:rsidR="00B416F3">
      <w:pPr>
        <w:spacing w:line="360" w:lineRule="auto"/>
        <w:ind w:firstLine="420" w:firstLineChars="200"/>
      </w:pPr>
      <w:r>
        <w:rPr>
          <w:rFonts w:hint="eastAsia"/>
        </w:rPr>
        <w:t>办公地址：</w:t>
      </w:r>
      <w:r>
        <w:rPr>
          <w:rFonts w:hint="eastAsia"/>
        </w:rPr>
        <w:t>成都市武侯区武青南路51号3栋5层510号、7层704号、7层716 号</w:t>
      </w:r>
    </w:p>
    <w:p w:rsidR="00B416F3">
      <w:pPr>
        <w:spacing w:line="360" w:lineRule="auto"/>
        <w:ind w:firstLine="420" w:firstLineChars="200"/>
      </w:pPr>
      <w:r>
        <w:rPr>
          <w:rFonts w:hint="eastAsia"/>
        </w:rPr>
        <w:t>经营地址：</w:t>
      </w:r>
      <w:bookmarkStart w:id="14" w:name="生产地址"/>
      <w:bookmarkEnd w:id="14"/>
      <w:r>
        <w:rPr>
          <w:rFonts w:hint="eastAsia"/>
        </w:rPr>
        <w:t>成都市武侯区武青南路51号3栋5层510号、7层704号、7层716 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14:00至2026年03月10日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成都数智风科技有限公司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文平、刘晓珍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664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