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20020-2026-E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E:石油仪器仪表、专用工具及配件的设计、生产、销售和技术服务(许可范围内);计算机软件开发;信息系统集成所涉及场所的相关环境管理活动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Q:石油仪器仪表、石油专用工具及配件的设计、生产、销售和技术服务（许可范围内）；计算机软件开发；信息系统集成。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E:18.05.02,19.05.01,33.02.01,33.02.02,Q:18.05.02,19.05.01,33.02.01,33.02.02,S:18.05.02,19.05.01,33.02.01,33.02.02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8544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00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