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22167-2025-QF</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003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浙江尖峰健康科技有限公司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任泽华、邝柏臣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838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任泽华</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2023-N1FSMS-4059498</w:t>
            </w:r>
          </w:p>
        </w:tc>
        <w:tc>
          <w:tcPr>
            <w:tcW w:w="3145" w:type="dxa"/>
            <w:vAlign w:val="center"/>
          </w:tcPr>
          <w:p w:rsidR="00E61E35" w:rsidP="00772D33">
            <w:pPr>
              <w:spacing w:line="360" w:lineRule="exact"/>
              <w:jc w:val="center"/>
              <w:rPr>
                <w:szCs w:val="21"/>
              </w:rPr>
            </w:pPr>
            <w:r>
              <w:t xml:space="preserve">CIV-14 ,CIV-4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任泽华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2025-N1QMS-5059498</w:t>
            </w:r>
          </w:p>
        </w:tc>
        <w:tc>
          <w:tcPr>
            <w:tcW w:w="3145" w:type="dxa"/>
            <w:vAlign w:val="center"/>
          </w:tcPr>
          <w:p>
            <w:pPr>
              <w:jc w:val="center"/>
            </w:pPr>
            <w:r>
              <w:t>03.08.03,03.08.06,03.10.07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2023-N1FSMS-2222839</w:t>
            </w:r>
          </w:p>
        </w:tc>
        <w:tc>
          <w:tcPr>
            <w:tcW w:w="3145" w:type="dxa"/>
            <w:vAlign w:val="center"/>
          </w:tcPr>
          <w:p>
            <w:pPr>
              <w:jc w:val="center"/>
            </w:pPr>
            <w:r>
              <w:t xml:space="preserve">CIV-14 ,CIV-4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2023-N1QMS-2222839</w:t>
            </w:r>
          </w:p>
        </w:tc>
        <w:tc>
          <w:tcPr>
            <w:tcW w:w="3145" w:type="dxa"/>
            <w:vAlign w:val="center"/>
          </w:tcPr>
          <w:p>
            <w:pPr>
              <w:jc w:val="center"/>
            </w:pPr>
            <w:r>
              <w:t>03.08.03</w:t>
            </w: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质量管理体系、食品安全管理体系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9001:2015、ISO 22000:2018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2026年01月12日上午至2026年01月14日上午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浙江尖峰健康科技有限公司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任泽华、邝柏臣</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58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