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3327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FDB9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D18B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A36F9F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江西白莲智能科技集团有限公司</w:t>
            </w:r>
          </w:p>
        </w:tc>
        <w:tc>
          <w:tcPr>
            <w:tcW w:w="1134" w:type="dxa"/>
            <w:vAlign w:val="center"/>
          </w:tcPr>
          <w:p w14:paraId="31209C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D643C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10087-2026-EnMS</w:t>
            </w:r>
          </w:p>
        </w:tc>
      </w:tr>
      <w:tr w14:paraId="3705E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0FF0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BA1132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</w:p>
        </w:tc>
      </w:tr>
      <w:tr w14:paraId="19690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A9E6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B5F7BF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</w:p>
          <w:p w14:paraId="0AFDAEAA"/>
        </w:tc>
      </w:tr>
      <w:tr w14:paraId="6EB61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90074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8361A6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石仕义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54296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304D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13803552177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A972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3E051B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A1F1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8161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1F5265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4B39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55CD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663D74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CB157F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ED0CD8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E5FF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4D29DE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2690062036@qq.com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A896E4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32ADBDE">
            <w:pPr>
              <w:rPr>
                <w:sz w:val="21"/>
                <w:szCs w:val="21"/>
              </w:rPr>
            </w:pPr>
          </w:p>
        </w:tc>
      </w:tr>
      <w:tr w14:paraId="587CA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A2696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008310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13:30至2026年02月09日 12:00</w:t>
            </w:r>
          </w:p>
        </w:tc>
        <w:tc>
          <w:tcPr>
            <w:tcW w:w="1457" w:type="dxa"/>
            <w:gridSpan w:val="5"/>
            <w:vAlign w:val="center"/>
          </w:tcPr>
          <w:p w14:paraId="7A460B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E07B32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433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22EC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B4A9B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AD212C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1DD3B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1C9CE4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37F0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C62F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7F05AC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231431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6BA9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B07A59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8AE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D69E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0E903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0B3AD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58D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ECCB1F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D1EE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63FB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B47284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7BF14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DF557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04FF1F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97E6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DF18EA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9598E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D28872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240F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0A8B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D05E4E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EnMS:金属家具、钢木家具、不锈钢家具[实验室家具、校用/教学家具、宿舍家具、公寓家具、适老/养老家具、银行家具、医院家具、定制家具]的设计、制造、销售所涉及的能源管理活动</w:t>
            </w:r>
          </w:p>
          <w:p w14:paraId="2DB4099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8E2B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D8A7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D4323D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799AA3B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8D68D6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34D0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3B0A9F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902E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7EBBD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4502FA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E170F2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9EA51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24E9C8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6952C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1A14E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DE0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24FED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598745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D9202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50BCB5B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2058B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197F9720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43CF3FD3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38BCD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E01AB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C0B87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5F71AA2">
            <w:pPr>
              <w:jc w:val="center"/>
            </w:pPr>
            <w:r>
              <w:t>潘荣君</w:t>
            </w:r>
          </w:p>
        </w:tc>
        <w:tc>
          <w:tcPr>
            <w:tcW w:w="850" w:type="dxa"/>
            <w:vAlign w:val="center"/>
          </w:tcPr>
          <w:p w14:paraId="7267931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03501F5">
            <w:pPr>
              <w:jc w:val="both"/>
            </w:pPr>
            <w:r>
              <w:t>2024-N0EnMS-1307928</w:t>
            </w:r>
          </w:p>
        </w:tc>
        <w:tc>
          <w:tcPr>
            <w:tcW w:w="3684" w:type="dxa"/>
            <w:gridSpan w:val="9"/>
            <w:vAlign w:val="center"/>
          </w:tcPr>
          <w:p w14:paraId="34802BE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88B9303">
            <w:pPr>
              <w:jc w:val="center"/>
            </w:pPr>
            <w:r>
              <w:t>13307101600</w:t>
            </w:r>
          </w:p>
        </w:tc>
      </w:tr>
      <w:tr w14:paraId="680A3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F3D292B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非专职人员工作单位信息：潘荣君-湖北丰亨安全信息技术咨询有限公司</w:t>
            </w:r>
          </w:p>
          <w:p w14:paraId="774CA0C4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注：见证人：王琳；被见证人：</w:t>
            </w:r>
            <w:r>
              <w:rPr>
                <w:highlight w:val="yellow"/>
              </w:rPr>
              <w:t>潘荣君</w:t>
            </w:r>
            <w:r>
              <w:rPr>
                <w:rFonts w:hint="eastAsia"/>
                <w:highlight w:val="yellow"/>
                <w:lang w:eastAsia="zh-CN"/>
              </w:rPr>
              <w:t>；</w:t>
            </w:r>
            <w:r>
              <w:rPr>
                <w:rFonts w:hint="eastAsia"/>
                <w:highlight w:val="yellow"/>
                <w:lang w:val="en-US" w:eastAsia="zh-CN"/>
              </w:rPr>
              <w:t>见证体系：EnMS；见证类型：晋级见证</w:t>
            </w:r>
            <w:bookmarkStart w:id="12" w:name="_GoBack"/>
            <w:bookmarkEnd w:id="12"/>
          </w:p>
        </w:tc>
      </w:tr>
      <w:tr w14:paraId="3130E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1E33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509CC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2569049">
            <w:pPr>
              <w:widowControl/>
              <w:jc w:val="left"/>
              <w:rPr>
                <w:sz w:val="21"/>
                <w:szCs w:val="21"/>
              </w:rPr>
            </w:pPr>
          </w:p>
          <w:p w14:paraId="35D4EEC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017489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14:paraId="232DAB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7785DE">
            <w:pPr>
              <w:rPr>
                <w:sz w:val="21"/>
                <w:szCs w:val="21"/>
              </w:rPr>
            </w:pPr>
          </w:p>
          <w:p w14:paraId="35BBDA66">
            <w:pPr>
              <w:rPr>
                <w:sz w:val="21"/>
                <w:szCs w:val="21"/>
              </w:rPr>
            </w:pPr>
          </w:p>
          <w:p w14:paraId="4C89590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49614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A55D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0906C5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0FA0C5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069C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3D3D4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80E763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6E0173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DF08B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07D44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1EC22D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913F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A88C78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3AC86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AABBC1">
      <w:pPr>
        <w:pStyle w:val="2"/>
      </w:pPr>
    </w:p>
    <w:p w14:paraId="12A677BB">
      <w:pPr>
        <w:pStyle w:val="2"/>
      </w:pPr>
    </w:p>
    <w:p w14:paraId="3525435B">
      <w:pPr>
        <w:pStyle w:val="2"/>
      </w:pPr>
    </w:p>
    <w:p w14:paraId="1C3197EE">
      <w:pPr>
        <w:pStyle w:val="2"/>
      </w:pPr>
    </w:p>
    <w:p w14:paraId="482CC6DF">
      <w:pPr>
        <w:pStyle w:val="2"/>
      </w:pPr>
    </w:p>
    <w:p w14:paraId="5B3224DE">
      <w:pPr>
        <w:pStyle w:val="2"/>
      </w:pPr>
    </w:p>
    <w:p w14:paraId="28944C38">
      <w:pPr>
        <w:pStyle w:val="2"/>
      </w:pPr>
    </w:p>
    <w:p w14:paraId="4E628699">
      <w:pPr>
        <w:pStyle w:val="2"/>
      </w:pPr>
    </w:p>
    <w:p w14:paraId="38C42EFB">
      <w:pPr>
        <w:pStyle w:val="2"/>
      </w:pPr>
    </w:p>
    <w:p w14:paraId="58251886">
      <w:pPr>
        <w:pStyle w:val="2"/>
      </w:pPr>
    </w:p>
    <w:p w14:paraId="14793BD0">
      <w:pPr>
        <w:pStyle w:val="2"/>
      </w:pPr>
    </w:p>
    <w:p w14:paraId="567C289F">
      <w:pPr>
        <w:pStyle w:val="2"/>
      </w:pPr>
    </w:p>
    <w:p w14:paraId="1CCBEE54">
      <w:pPr>
        <w:pStyle w:val="2"/>
      </w:pPr>
    </w:p>
    <w:p w14:paraId="2433B886">
      <w:pPr>
        <w:pStyle w:val="2"/>
      </w:pPr>
    </w:p>
    <w:p w14:paraId="35373E3B">
      <w:pPr>
        <w:pStyle w:val="2"/>
      </w:pPr>
    </w:p>
    <w:p w14:paraId="613B2F69">
      <w:pPr>
        <w:pStyle w:val="2"/>
      </w:pPr>
    </w:p>
    <w:p w14:paraId="6E425E38">
      <w:pPr>
        <w:pStyle w:val="2"/>
      </w:pPr>
    </w:p>
    <w:p w14:paraId="38B9DD05">
      <w:pPr>
        <w:pStyle w:val="2"/>
      </w:pPr>
    </w:p>
    <w:p w14:paraId="1E78BED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CA0889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0528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145BE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87B5C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8FD9C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5F9E54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BA66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75DF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6013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3E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EF41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17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AC2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A705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3C69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8EA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11C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8F5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2949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93F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566A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633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4B1E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67CD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D17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030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C3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B1D4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AA3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731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3A1D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1D7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832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436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513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481A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DE9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9D3A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6C7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61E0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52DF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E9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2321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692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010A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3A6C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C4B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1D2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FC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AD93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6A4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E7A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D2C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22F5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5B5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684F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A0F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21C2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95F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AA5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AE65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9CA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706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013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60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135D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3DF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3BC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F69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734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9DAA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B46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1208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00FB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1DB4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0EF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434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D0B2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097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3381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F128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44D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F68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F82F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9250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838E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B63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4E55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6924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D8C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F33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8B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41DB32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C1449D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7EB8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40B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DE3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AC361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939AC6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A4FC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C511E5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09E596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F858A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4A1F06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67655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0373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A7E35B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CA32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7E7E1A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768B67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5C21DE8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1272</Words>
  <Characters>1442</Characters>
  <Lines>9</Lines>
  <Paragraphs>2</Paragraphs>
  <TotalTime>0</TotalTime>
  <ScaleCrop>false</ScaleCrop>
  <LinksUpToDate>false</LinksUpToDate>
  <CharactersWithSpaces>1490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2026-01-30T02:05:31Z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