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宝鸡市陈仓区东升锻造厂</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0154-2019-M/0490-2019-E-2021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0154-2019-M/0490-2019-E-2021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00"/>
        <w:gridCol w:w="158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宝鸡市陈仓区东升锻造厂</w:t>
            </w:r>
            <w:bookmarkEnd w:id="4"/>
          </w:p>
        </w:tc>
        <w:tc>
          <w:tcPr>
            <w:tcW w:w="15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89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尚铁娃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ISC-2019-0519</w:t>
            </w:r>
            <w:bookmarkEnd w:id="6"/>
          </w:p>
        </w:tc>
        <w:tc>
          <w:tcPr>
            <w:tcW w:w="15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89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2024-10-28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0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5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91"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2021年10月29日下午</w:t>
            </w:r>
            <w:bookmarkEnd w:id="9"/>
          </w:p>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-10月30日上午</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00" w:type="dxa"/>
          </w:tcPr>
          <w:p>
            <w:pPr>
              <w:tabs>
                <w:tab w:val="left" w:pos="880"/>
              </w:tabs>
              <w:autoSpaceDE w:val="0"/>
              <w:autoSpaceDN w:val="0"/>
              <w:adjustRightInd w:val="0"/>
              <w:spacing w:before="35" w:line="276" w:lineRule="auto"/>
              <w:ind w:right="161"/>
              <w:rPr>
                <w:color w:val="000000"/>
                <w:szCs w:val="21"/>
              </w:rPr>
            </w:pPr>
            <w:r>
              <w:rPr>
                <w:color w:val="000000"/>
                <w:szCs w:val="21"/>
              </w:rPr>
              <w:t>李俐</w:t>
            </w:r>
            <w:r>
              <w:rPr>
                <w:rFonts w:hint="eastAsia"/>
                <w:color w:val="000000"/>
                <w:szCs w:val="21"/>
                <w:lang w:val="en-US" w:eastAsia="zh-CN"/>
              </w:rPr>
              <w:t xml:space="preserve">  </w:t>
            </w:r>
            <w:r>
              <w:rPr>
                <w:color w:val="000000"/>
                <w:szCs w:val="21"/>
              </w:rPr>
              <w:t>ISC[S]0008</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olor w:val="000000"/>
                <w:szCs w:val="21"/>
              </w:rPr>
              <w:t>2021-M1MMS-2222792</w:t>
            </w:r>
          </w:p>
        </w:tc>
        <w:tc>
          <w:tcPr>
            <w:tcW w:w="15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91" w:type="dxa"/>
          </w:tcPr>
          <w:p>
            <w:pPr>
              <w:spacing w:line="360" w:lineRule="auto"/>
              <w:jc w:val="left"/>
              <w:rPr>
                <w:rFonts w:hint="eastAsia" w:ascii="宋体"/>
                <w:szCs w:val="22"/>
                <w:lang w:val="en-US" w:eastAsia="zh-CN"/>
              </w:rPr>
            </w:pPr>
            <w:r>
              <w:rPr>
                <w:rFonts w:hint="default" w:ascii="宋体" w:eastAsia="宋体"/>
                <w:lang w:val="en-US" w:eastAsia="zh-CN"/>
              </w:rPr>
              <w:t>办公室</w:t>
            </w:r>
            <w:r>
              <w:rPr>
                <w:rFonts w:hint="eastAsia" w:ascii="宋体" w:eastAsia="宋体"/>
                <w:lang w:val="en-US" w:eastAsia="zh-CN"/>
              </w:rPr>
              <w:t>、</w:t>
            </w:r>
            <w:r>
              <w:rPr>
                <w:rFonts w:hint="eastAsia" w:ascii="宋体"/>
              </w:rPr>
              <w:t>技术质量</w:t>
            </w:r>
            <w:r>
              <w:rPr>
                <w:rFonts w:hint="eastAsia" w:ascii="宋体"/>
                <w:lang w:val="en-US" w:eastAsia="zh-CN"/>
              </w:rPr>
              <w:t>部、</w:t>
            </w:r>
            <w:r>
              <w:rPr>
                <w:rFonts w:hint="eastAsia" w:ascii="宋体"/>
                <w:szCs w:val="22"/>
                <w:lang w:val="en-US" w:eastAsia="zh-CN"/>
              </w:rPr>
              <w:t>生产部</w:t>
            </w:r>
          </w:p>
          <w:p>
            <w:pPr>
              <w:spacing w:line="360" w:lineRule="auto"/>
              <w:rPr>
                <w:rFonts w:cs="宋体" w:asciiTheme="minorEastAsia" w:hAnsiTheme="minorEastAsia"/>
                <w:kern w:val="0"/>
                <w:szCs w:val="21"/>
              </w:rPr>
            </w:pPr>
            <w:r>
              <w:rPr>
                <w:rFonts w:hint="eastAsia" w:ascii="宋体"/>
                <w:lang w:val="en-US" w:eastAsia="zh-CN"/>
              </w:rPr>
              <w:t>检验部、</w:t>
            </w:r>
            <w:r>
              <w:rPr>
                <w:rFonts w:hint="eastAsia" w:ascii="宋体"/>
                <w:szCs w:val="22"/>
                <w:lang w:val="en-US" w:eastAsia="zh-CN"/>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cs="宋体"/>
          <w:bCs/>
          <w:color w:val="000000" w:themeColor="text1"/>
          <w:kern w:val="0"/>
          <w:szCs w:val="21"/>
          <w:lang w:eastAsia="zh-CN"/>
        </w:rPr>
      </w:pPr>
      <w:r>
        <w:rPr>
          <w:rFonts w:hint="eastAsia" w:ascii="宋体" w:hAnsi="宋体" w:cs="宋体"/>
          <w:bCs/>
          <w:color w:val="000000" w:themeColor="text1"/>
          <w:kern w:val="0"/>
          <w:szCs w:val="21"/>
          <w14:textFill>
            <w14:solidFill>
              <w14:schemeClr w14:val="tx1"/>
            </w14:solidFill>
          </w14:textFill>
        </w:rPr>
        <w:t>20</w:t>
      </w:r>
      <w:r>
        <w:rPr>
          <w:rFonts w:hint="eastAsia" w:ascii="宋体" w:hAnsi="宋体" w:cs="宋体"/>
          <w:bCs/>
          <w:color w:val="000000" w:themeColor="text1"/>
          <w:kern w:val="0"/>
          <w:szCs w:val="21"/>
          <w:lang w:val="en-US" w:eastAsia="zh-CN"/>
          <w14:textFill>
            <w14:solidFill>
              <w14:schemeClr w14:val="tx1"/>
            </w14:solidFill>
          </w14:textFill>
        </w:rPr>
        <w:t>20</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12</w:t>
      </w:r>
      <w:r>
        <w:rPr>
          <w:rFonts w:hint="eastAsia" w:ascii="宋体" w:hAnsi="宋体" w:cs="宋体"/>
          <w:bCs/>
          <w:color w:val="000000" w:themeColor="text1"/>
          <w:kern w:val="0"/>
          <w:szCs w:val="21"/>
          <w14:textFill>
            <w14:solidFill>
              <w14:schemeClr w14:val="tx1"/>
            </w14:solidFill>
          </w14:textFill>
        </w:rPr>
        <w:t>月至今，公司日常运行中生产经营平稳，企业未有违反法律、法规问题和产品质量问题的投诉或重大质量事故发生。企业营业执照等资质未发生变化。企业一年来测量管理体系取得的成绩：对检验实验室的人员进行了培训，提升了检测能力。 加强了计量器</w:t>
      </w:r>
      <w:r>
        <w:rPr>
          <w:rFonts w:hint="eastAsia" w:ascii="宋体" w:hAnsi="宋体" w:cs="宋体"/>
          <w:bCs/>
          <w:color w:val="000000" w:themeColor="text1"/>
          <w:kern w:val="0"/>
          <w:szCs w:val="21"/>
        </w:rPr>
        <w:t>具的管理，进一步完善了测量过程的控制，使产量有较大提升</w:t>
      </w:r>
      <w:r>
        <w:rPr>
          <w:rFonts w:hint="eastAsia" w:ascii="宋体" w:hAnsi="宋体" w:cs="宋体"/>
          <w:bCs/>
          <w:color w:val="000000" w:themeColor="text1"/>
          <w:kern w:val="0"/>
          <w:szCs w:val="21"/>
          <w:lang w:eastAsia="zh-CN"/>
        </w:rPr>
        <w:t>。</w:t>
      </w:r>
    </w:p>
    <w:p>
      <w:pPr>
        <w:spacing w:line="360" w:lineRule="auto"/>
        <w:rPr>
          <w:rFonts w:hint="eastAsia" w:ascii="宋体" w:hAnsi="宋体" w:cs="宋体"/>
          <w:bCs/>
          <w:color w:val="000000" w:themeColor="text1"/>
          <w:kern w:val="0"/>
          <w:szCs w:val="21"/>
        </w:rPr>
      </w:pPr>
      <w:r>
        <w:rPr>
          <w:rFonts w:hint="eastAsia" w:ascii="宋体" w:hAnsi="宋体" w:cs="宋体"/>
          <w:bCs/>
          <w:color w:val="000000" w:themeColor="text1"/>
          <w:kern w:val="0"/>
          <w:szCs w:val="21"/>
        </w:rPr>
        <w:t>2.内部审核和管理评审的情况：</w:t>
      </w:r>
    </w:p>
    <w:p>
      <w:pPr>
        <w:spacing w:line="360" w:lineRule="auto"/>
        <w:rPr>
          <w:rFonts w:hint="eastAsia" w:ascii="宋体" w:hAnsi="宋体" w:cs="宋体"/>
          <w:bCs/>
          <w:color w:val="000000" w:themeColor="text1"/>
          <w:kern w:val="0"/>
          <w:szCs w:val="21"/>
        </w:rPr>
      </w:pPr>
      <w:r>
        <w:rPr>
          <w:rFonts w:hint="eastAsia" w:ascii="宋体" w:hAnsi="宋体" w:cs="宋体"/>
          <w:bCs/>
          <w:color w:val="000000" w:themeColor="text1"/>
          <w:kern w:val="0"/>
          <w:szCs w:val="21"/>
        </w:rPr>
        <w:t>2.1内审情况：</w:t>
      </w:r>
      <w:r>
        <w:rPr>
          <w:rFonts w:hint="eastAsia" w:ascii="宋体" w:hAnsi="宋体" w:cs="宋体"/>
          <w:bCs/>
          <w:color w:val="000000" w:themeColor="text1"/>
          <w:kern w:val="0"/>
          <w:szCs w:val="21"/>
          <w:lang w:val="en-US" w:eastAsia="zh-CN"/>
        </w:rPr>
        <w:t>于2021年7月20日由春秋乾、李少强两名内审员实施了测量管理体系内部审核，</w:t>
      </w:r>
      <w:r>
        <w:rPr>
          <w:rFonts w:hint="eastAsia" w:ascii="宋体" w:hAnsi="宋体" w:cs="宋体"/>
          <w:bCs/>
          <w:color w:val="000000" w:themeColor="text1"/>
          <w:kern w:val="0"/>
          <w:szCs w:val="21"/>
        </w:rPr>
        <w:t>内审分</w:t>
      </w:r>
      <w:r>
        <w:rPr>
          <w:rFonts w:hint="eastAsia" w:ascii="宋体" w:hAnsi="宋体" w:cs="宋体"/>
          <w:bCs/>
          <w:color w:val="000000" w:themeColor="text1"/>
          <w:kern w:val="0"/>
          <w:szCs w:val="21"/>
          <w:lang w:val="en-US" w:eastAsia="zh-CN"/>
        </w:rPr>
        <w:t>2</w:t>
      </w:r>
      <w:r>
        <w:rPr>
          <w:rFonts w:hint="eastAsia" w:ascii="宋体" w:hAnsi="宋体" w:cs="宋体"/>
          <w:bCs/>
          <w:color w:val="000000" w:themeColor="text1"/>
          <w:kern w:val="0"/>
          <w:szCs w:val="21"/>
        </w:rPr>
        <w:t>个组，对公司</w:t>
      </w:r>
      <w:r>
        <w:rPr>
          <w:rFonts w:hint="eastAsia" w:ascii="宋体" w:hAnsi="宋体" w:cs="宋体"/>
          <w:bCs/>
          <w:color w:val="000000" w:themeColor="text1"/>
          <w:kern w:val="0"/>
          <w:szCs w:val="21"/>
          <w:lang w:val="en-US" w:eastAsia="zh-CN"/>
        </w:rPr>
        <w:t>,5</w:t>
      </w:r>
      <w:r>
        <w:rPr>
          <w:rFonts w:hint="eastAsia" w:ascii="宋体" w:hAnsi="宋体" w:cs="宋体"/>
          <w:bCs/>
          <w:color w:val="000000" w:themeColor="text1"/>
          <w:kern w:val="0"/>
          <w:szCs w:val="21"/>
        </w:rPr>
        <w:t>个部门进行了全要素的审核</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lang w:val="en-US" w:eastAsia="zh-CN"/>
        </w:rPr>
        <w:t>开具了一个次要不符合项于2021年7月24日完成了整改；</w:t>
      </w:r>
    </w:p>
    <w:p>
      <w:pPr>
        <w:spacing w:line="360" w:lineRule="auto"/>
        <w:rPr>
          <w:rFonts w:hint="eastAsia" w:ascii="宋体" w:hAnsi="宋体" w:cs="宋体"/>
          <w:bCs/>
          <w:color w:val="000000" w:themeColor="text1"/>
          <w:kern w:val="0"/>
          <w:szCs w:val="21"/>
        </w:rPr>
      </w:pPr>
      <w:r>
        <w:rPr>
          <w:rFonts w:hint="eastAsia" w:ascii="宋体" w:hAnsi="宋体" w:cs="宋体"/>
          <w:bCs/>
          <w:color w:val="000000" w:themeColor="text1"/>
          <w:kern w:val="0"/>
          <w:szCs w:val="21"/>
        </w:rPr>
        <w:t>2.2管理评审情况：于</w:t>
      </w:r>
      <w:r>
        <w:rPr>
          <w:rFonts w:hint="eastAsia" w:ascii="宋体" w:hAnsi="宋体" w:cs="宋体"/>
          <w:bCs/>
          <w:color w:val="000000" w:themeColor="text1"/>
          <w:kern w:val="0"/>
          <w:szCs w:val="21"/>
          <w:lang w:val="en-US" w:eastAsia="zh-CN"/>
        </w:rPr>
        <w:t>2021年8月30日</w:t>
      </w:r>
      <w:r>
        <w:rPr>
          <w:rFonts w:hint="eastAsia" w:ascii="宋体" w:hAnsi="宋体" w:cs="宋体"/>
          <w:bCs/>
          <w:color w:val="000000" w:themeColor="text1"/>
          <w:kern w:val="0"/>
          <w:szCs w:val="21"/>
        </w:rPr>
        <w:t>开展了测量管理体系管理评审，会议由公司</w:t>
      </w:r>
      <w:r>
        <w:rPr>
          <w:rFonts w:hint="eastAsia" w:ascii="宋体" w:hAnsi="宋体" w:cs="宋体"/>
          <w:bCs/>
          <w:color w:val="000000" w:themeColor="text1"/>
          <w:kern w:val="0"/>
          <w:szCs w:val="21"/>
          <w:lang w:val="en-US" w:eastAsia="zh-CN"/>
        </w:rPr>
        <w:t>赵国军厂长</w:t>
      </w:r>
      <w:r>
        <w:rPr>
          <w:rFonts w:hint="eastAsia" w:ascii="宋体" w:hAnsi="宋体" w:cs="宋体"/>
          <w:bCs/>
          <w:color w:val="000000" w:themeColor="text1"/>
          <w:kern w:val="0"/>
          <w:szCs w:val="21"/>
        </w:rPr>
        <w:t>主持，由公司各部门分别按管理评审输入要求汇报了体系运行实施及完成情况。管代总结了测量体系的运行情况，并肯定了公司测量管理体系运行的充分性、有效性和适宜性。形成了管理评审报告。</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14:textFill>
            <w14:solidFill>
              <w14:schemeClr w14:val="tx1"/>
            </w14:solidFill>
          </w14:textFill>
        </w:rPr>
        <w:t>未</w:t>
      </w:r>
      <w:r>
        <w:rPr>
          <w:rFonts w:hint="eastAsia" w:cs="宋体" w:asciiTheme="minorEastAsia" w:hAnsiTheme="minorEastAsia"/>
          <w:bCs/>
          <w:color w:val="000000" w:themeColor="text1"/>
          <w:kern w:val="0"/>
          <w:szCs w:val="21"/>
          <w14:textFill>
            <w14:solidFill>
              <w14:schemeClr w14:val="tx1"/>
            </w14:solidFill>
          </w14:textFill>
        </w:rPr>
        <w:t>增关键测量过程：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a)计量要求的导出和验证：查</w:t>
      </w:r>
      <w:r>
        <w:rPr>
          <w:rFonts w:hint="eastAsia" w:ascii="Times New Roman" w:hAnsi="Times New Roman" w:cs="Times New Roman"/>
          <w:color w:val="000000" w:themeColor="text1"/>
          <w14:textFill>
            <w14:solidFill>
              <w14:schemeClr w14:val="tx1"/>
            </w14:solidFill>
          </w14:textFill>
        </w:rPr>
        <w:t>倒挡滑动齿套硬度</w:t>
      </w:r>
      <w:r>
        <w:rPr>
          <w:rFonts w:hint="eastAsia" w:ascii="Times New Roman" w:hAnsi="Times New Roman" w:cs="Times New Roman"/>
          <w:color w:val="000000" w:themeColor="text1"/>
          <w:lang w:val="en-US" w:eastAsia="zh-CN"/>
          <w14:textFill>
            <w14:solidFill>
              <w14:schemeClr w14:val="tx1"/>
            </w14:solidFill>
          </w14:textFill>
        </w:rPr>
        <w:t>测量</w:t>
      </w:r>
      <w:r>
        <w:rPr>
          <w:rFonts w:hint="eastAsia"/>
          <w:color w:val="000000" w:themeColor="text1"/>
          <w14:textFill>
            <w14:solidFill>
              <w14:schemeClr w14:val="tx1"/>
            </w14:solidFill>
          </w14:textFill>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Times New Roman" w:hAnsi="Times New Roman" w:cs="Times New Roman"/>
          <w:color w:val="000000" w:themeColor="text1"/>
          <w14:textFill>
            <w14:solidFill>
              <w14:schemeClr w14:val="tx1"/>
            </w14:solidFill>
          </w14:textFill>
        </w:rPr>
        <w:t>倒挡滑动齿套硬度</w:t>
      </w:r>
      <w:r>
        <w:rPr>
          <w:rFonts w:hint="eastAsia" w:ascii="Times New Roman" w:hAnsi="Times New Roman" w:cs="Times New Roman"/>
          <w:color w:val="000000" w:themeColor="text1"/>
          <w:lang w:val="en-US" w:eastAsia="zh-CN"/>
          <w14:textFill>
            <w14:solidFill>
              <w14:schemeClr w14:val="tx1"/>
            </w14:solidFill>
          </w14:textFill>
        </w:rPr>
        <w:t>测量</w:t>
      </w:r>
      <w:r>
        <w:rPr>
          <w:rFonts w:hint="eastAsia"/>
          <w:color w:val="000000" w:themeColor="text1"/>
          <w14:textFill>
            <w14:solidFill>
              <w14:schemeClr w14:val="tx1"/>
            </w14:solidFill>
          </w14:textFill>
        </w:rPr>
        <w:t>过程，测量不确定度评定正确。祥见附件《测量不确定度评定》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ascii="Times New Roman" w:hAnsi="Times New Roman" w:cs="Times New Roman"/>
          <w:color w:val="000000" w:themeColor="text1"/>
          <w14:textFill>
            <w14:solidFill>
              <w14:schemeClr w14:val="tx1"/>
            </w14:solidFill>
          </w14:textFill>
        </w:rPr>
        <w:t>倒挡滑动齿套硬度</w:t>
      </w:r>
      <w:r>
        <w:rPr>
          <w:rFonts w:hint="eastAsia" w:ascii="Times New Roman" w:hAnsi="Times New Roman" w:cs="Times New Roman"/>
          <w:color w:val="000000" w:themeColor="text1"/>
          <w:lang w:val="en-US" w:eastAsia="zh-CN"/>
          <w14:textFill>
            <w14:solidFill>
              <w14:schemeClr w14:val="tx1"/>
            </w14:solidFill>
          </w14:textFill>
        </w:rPr>
        <w:t>测量</w:t>
      </w:r>
      <w:r>
        <w:rPr>
          <w:rFonts w:hint="eastAsia"/>
          <w:color w:val="000000" w:themeColor="text1"/>
          <w14:textFill>
            <w14:solidFill>
              <w14:schemeClr w14:val="tx1"/>
            </w14:solidFill>
          </w14:textFill>
        </w:rPr>
        <w:t>过程，采用罐车检尺量和流量计量进行比对进行有效性确认，满足要求。祥见附件《测量过程有效性确认》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Times New Roman" w:hAnsi="Times New Roman" w:cs="Times New Roman"/>
          <w:color w:val="000000" w:themeColor="text1"/>
          <w14:textFill>
            <w14:solidFill>
              <w14:schemeClr w14:val="tx1"/>
            </w14:solidFill>
          </w14:textFill>
        </w:rPr>
        <w:t>倒挡滑动齿套硬度</w:t>
      </w:r>
      <w:r>
        <w:rPr>
          <w:rFonts w:hint="eastAsia" w:ascii="Times New Roman" w:hAnsi="Times New Roman" w:cs="Times New Roman"/>
          <w:color w:val="000000" w:themeColor="text1"/>
          <w:lang w:val="en-US" w:eastAsia="zh-CN"/>
          <w14:textFill>
            <w14:solidFill>
              <w14:schemeClr w14:val="tx1"/>
            </w14:solidFill>
          </w14:textFill>
        </w:rPr>
        <w:t>测量</w:t>
      </w:r>
      <w:r>
        <w:rPr>
          <w:rFonts w:hint="eastAsia"/>
          <w:color w:val="000000" w:themeColor="text1"/>
          <w14:textFill>
            <w14:solidFill>
              <w14:schemeClr w14:val="tx1"/>
            </w14:solidFill>
          </w14:textFill>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Times New Roman" w:hAnsi="Times New Roman" w:cs="Times New Roman"/>
          <w:color w:val="000000" w:themeColor="text1"/>
          <w14:textFill>
            <w14:solidFill>
              <w14:schemeClr w14:val="tx1"/>
            </w14:solidFill>
          </w14:textFill>
        </w:rPr>
        <w:t>倒挡滑动齿套硬度</w:t>
      </w:r>
      <w:r>
        <w:rPr>
          <w:rFonts w:hint="eastAsia" w:ascii="Times New Roman" w:hAnsi="Times New Roman" w:cs="Times New Roman"/>
          <w:color w:val="000000" w:themeColor="text1"/>
          <w:lang w:val="en-US" w:eastAsia="zh-CN"/>
          <w14:textFill>
            <w14:solidFill>
              <w14:schemeClr w14:val="tx1"/>
            </w14:solidFill>
          </w14:textFill>
        </w:rPr>
        <w:t>测量</w:t>
      </w:r>
      <w:r>
        <w:rPr>
          <w:rFonts w:hint="eastAsia"/>
          <w:color w:val="000000" w:themeColor="text1"/>
          <w14:textFill>
            <w14:solidFill>
              <w14:schemeClr w14:val="tx1"/>
            </w14:solidFill>
          </w14:textFill>
        </w:rPr>
        <w:t>过程，</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widowControl/>
        <w:spacing w:line="360" w:lineRule="auto"/>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color w:val="000000" w:themeColor="text1"/>
          <w:szCs w:val="21"/>
          <w14:textFill>
            <w14:solidFill>
              <w14:schemeClr w14:val="tx1"/>
            </w14:solidFill>
          </w14:textFill>
        </w:rPr>
        <w:t>公司</w:t>
      </w:r>
      <w:r>
        <w:rPr>
          <w:rFonts w:hint="eastAsia"/>
          <w:color w:val="000000" w:themeColor="text1"/>
          <w:szCs w:val="21"/>
          <w:lang w:val="en-US" w:eastAsia="zh-CN"/>
          <w14:textFill>
            <w14:solidFill>
              <w14:schemeClr w14:val="tx1"/>
            </w14:solidFill>
          </w14:textFill>
        </w:rPr>
        <w:t>未建立建立</w:t>
      </w:r>
      <w:r>
        <w:rPr>
          <w:rFonts w:hint="eastAsia"/>
          <w:color w:val="000000" w:themeColor="text1"/>
          <w:szCs w:val="21"/>
          <w14:textFill>
            <w14:solidFill>
              <w14:schemeClr w14:val="tx1"/>
            </w14:solidFill>
          </w14:textFill>
        </w:rPr>
        <w:t>标准，测量设备全部送至</w:t>
      </w:r>
      <w:r>
        <w:rPr>
          <w:rFonts w:hint="eastAsia"/>
          <w:color w:val="000000" w:themeColor="text1"/>
          <w:szCs w:val="21"/>
          <w:lang w:val="en-US" w:eastAsia="zh-CN"/>
          <w14:textFill>
            <w14:solidFill>
              <w14:schemeClr w14:val="tx1"/>
            </w14:solidFill>
          </w14:textFill>
        </w:rPr>
        <w:t>东莞市帝恩检测有限公司</w:t>
      </w:r>
      <w:r>
        <w:rPr>
          <w:rFonts w:hint="eastAsia"/>
          <w:color w:val="000000" w:themeColor="text1"/>
          <w:szCs w:val="21"/>
          <w14:textFill>
            <w14:solidFill>
              <w14:schemeClr w14:val="tx1"/>
            </w14:solidFill>
          </w14:textFill>
        </w:rPr>
        <w:t>校准，抽查</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台件测量设备，符合量值溯源性管理的要求。祥见《测量设备溯源检查表》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rPr>
        <w:t>企业20</w:t>
      </w:r>
      <w:r>
        <w:rPr>
          <w:rFonts w:hint="eastAsia" w:ascii="宋体" w:hAnsi="宋体" w:eastAsia="宋体"/>
          <w:bCs/>
          <w:color w:val="000000" w:themeColor="text1"/>
          <w:szCs w:val="21"/>
          <w:lang w:val="en-US" w:eastAsia="zh-CN"/>
          <w14:textFill>
            <w14:solidFill>
              <w14:schemeClr w14:val="tx1"/>
            </w14:solidFill>
          </w14:textFill>
        </w:rPr>
        <w:t>20年耗能391吨</w:t>
      </w:r>
      <w:r>
        <w:rPr>
          <w:rFonts w:hint="eastAsia"/>
          <w:color w:val="000000" w:themeColor="text1"/>
          <w:szCs w:val="21"/>
          <w:lang w:val="en-US" w:eastAsia="zh-CN"/>
        </w:rPr>
        <w:t>标准煤</w:t>
      </w:r>
      <w:r>
        <w:rPr>
          <w:rFonts w:hint="eastAsia"/>
          <w:color w:val="000000" w:themeColor="text1"/>
          <w:szCs w:val="21"/>
        </w:rPr>
        <w:t>。</w:t>
      </w:r>
      <w:r>
        <w:rPr>
          <w:rFonts w:hint="eastAsia"/>
          <w:color w:val="000000" w:themeColor="text1"/>
          <w:szCs w:val="21"/>
          <w:lang w:val="en-US" w:eastAsia="zh-CN"/>
        </w:rPr>
        <w:t>不</w:t>
      </w:r>
      <w:r>
        <w:rPr>
          <w:rFonts w:hint="eastAsia"/>
          <w:color w:val="000000" w:themeColor="text1"/>
          <w:szCs w:val="21"/>
        </w:rPr>
        <w:t>是重</w:t>
      </w:r>
      <w:r>
        <w:rPr>
          <w:rFonts w:hint="eastAsia"/>
          <w:color w:val="000000" w:themeColor="text1"/>
          <w:szCs w:val="21"/>
        </w:rPr>
        <w:t>点耗能</w:t>
      </w:r>
      <w:r>
        <w:rPr>
          <w:rFonts w:hint="eastAsia" w:ascii="宋体" w:hAnsi="宋体" w:eastAsia="宋体"/>
          <w:bCs/>
          <w:color w:val="000000" w:themeColor="text1"/>
          <w:szCs w:val="21"/>
          <w14:textFill>
            <w14:solidFill>
              <w14:schemeClr w14:val="tx1"/>
            </w14:solidFill>
          </w14:textFill>
        </w:rPr>
        <w:t>单位，企业能源测量设备</w:t>
      </w:r>
      <w:r>
        <w:rPr>
          <w:rFonts w:hint="eastAsia" w:ascii="宋体" w:hAnsi="宋体" w:eastAsia="宋体"/>
          <w:bCs/>
          <w:color w:val="000000" w:themeColor="text1"/>
          <w:szCs w:val="21"/>
          <w:lang w:val="en-US" w:eastAsia="zh-CN"/>
          <w14:textFill>
            <w14:solidFill>
              <w14:schemeClr w14:val="tx1"/>
            </w14:solidFill>
          </w14:textFill>
        </w:rPr>
        <w:t>列入计量器具台账</w:t>
      </w:r>
      <w:r>
        <w:rPr>
          <w:rFonts w:hint="eastAsia" w:ascii="宋体" w:hAnsi="宋体" w:eastAsia="宋体"/>
          <w:bCs/>
          <w:color w:val="000000" w:themeColor="text1"/>
          <w:szCs w:val="21"/>
          <w14:textFill>
            <w14:solidFill>
              <w14:schemeClr w14:val="tx1"/>
            </w14:solidFill>
          </w14:textFill>
        </w:rPr>
        <w:t>，能源测量设备配备率满足要求。能源计量管理满足GB17167要求。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5.对认证审核时提出的的不符合项的纠正措施情况有表述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w:t>
      </w:r>
    </w:p>
    <w:p>
      <w:pPr>
        <w:widowControl/>
        <w:spacing w:line="360" w:lineRule="auto"/>
        <w:ind w:firstLine="420" w:firstLineChars="200"/>
        <w:jc w:val="left"/>
        <w:rPr>
          <w:rFonts w:hint="eastAsia" w:ascii="宋体" w:hAnsi="宋体" w:cs="宋体"/>
          <w:color w:val="000000"/>
          <w:kern w:val="0"/>
          <w:sz w:val="20"/>
          <w:lang w:val="en-US" w:eastAsia="zh-CN" w:bidi="ar"/>
        </w:rPr>
      </w:pPr>
      <w:r>
        <w:rPr>
          <w:rFonts w:hint="eastAsia" w:ascii="宋体" w:hAnsi="宋体" w:cs="宋体"/>
          <w:kern w:val="0"/>
          <w:szCs w:val="21"/>
        </w:rPr>
        <w:t>2020年</w:t>
      </w:r>
      <w:r>
        <w:rPr>
          <w:rFonts w:hint="eastAsia" w:ascii="宋体" w:hAnsi="宋体" w:cs="宋体"/>
          <w:kern w:val="0"/>
          <w:szCs w:val="21"/>
          <w:lang w:val="en-US" w:eastAsia="zh-CN"/>
        </w:rPr>
        <w:t>监督审核</w:t>
      </w:r>
      <w:r>
        <w:rPr>
          <w:rFonts w:hint="eastAsia" w:ascii="宋体" w:hAnsi="宋体" w:cs="宋体"/>
          <w:kern w:val="0"/>
          <w:szCs w:val="21"/>
        </w:rPr>
        <w:t>开出：</w:t>
      </w:r>
      <w:r>
        <w:rPr>
          <w:rFonts w:hint="eastAsia" w:ascii="宋体" w:hAnsi="宋体" w:cs="宋体"/>
          <w:kern w:val="0"/>
          <w:szCs w:val="21"/>
          <w:lang w:eastAsia="zh-CN"/>
        </w:rPr>
        <w:t>“</w:t>
      </w:r>
      <w:r>
        <w:rPr>
          <w:rFonts w:hint="eastAsia" w:ascii="宋体" w:hAnsi="宋体" w:cs="宋体"/>
          <w:kern w:val="0"/>
          <w:szCs w:val="21"/>
          <w:lang w:val="en-US" w:eastAsia="zh-CN"/>
        </w:rPr>
        <w:t>生产部锻压工房内两个储气罐顶部监测压缩空气用压力表，</w:t>
      </w:r>
      <w:r>
        <w:rPr>
          <w:rFonts w:hint="eastAsia" w:ascii="宋体" w:hAnsi="宋体" w:cs="宋体"/>
          <w:color w:val="000000"/>
          <w:kern w:val="0"/>
          <w:sz w:val="20"/>
          <w:lang w:val="en-US" w:eastAsia="zh-CN" w:bidi="ar"/>
        </w:rPr>
        <w:t>编号18101194、R18668，检定证书编号：宝质检中心（J）2019No000554，有效期为2020年2月11日，仍处于在用状态，”不符合 GB/T 19022-2003 标准7.3.2条款</w:t>
      </w:r>
      <w:r>
        <w:rPr>
          <w:rFonts w:hint="eastAsia" w:ascii="宋体" w:hAnsi="宋体" w:cs="宋体"/>
          <w:color w:val="000000"/>
          <w:kern w:val="0"/>
          <w:sz w:val="20"/>
          <w:lang w:val="en-US" w:eastAsia="zh-CN" w:bidi="ar"/>
        </w:rPr>
        <w:t>的要求</w:t>
      </w:r>
    </w:p>
    <w:p>
      <w:pPr>
        <w:widowControl/>
        <w:spacing w:line="360" w:lineRule="auto"/>
        <w:jc w:val="left"/>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已经由技术质量部负责联系计量检定机构已完成对压力表实施计量检定。经验证该不符合项纠正措施有效，同意关闭。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企业2020年有未有顾客的投诉。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年1月到</w:t>
      </w:r>
      <w:r>
        <w:rPr>
          <w:rFonts w:hint="eastAsia" w:ascii="宋体" w:hAnsi="宋体" w:eastAsia="宋体"/>
          <w:bCs/>
          <w:color w:val="000000" w:themeColor="text1"/>
          <w:szCs w:val="21"/>
          <w:lang w:val="en-US" w:eastAsia="zh-CN"/>
          <w14:textFill>
            <w14:solidFill>
              <w14:schemeClr w14:val="tx1"/>
            </w14:solidFill>
          </w14:textFill>
        </w:rPr>
        <w:t>9</w:t>
      </w:r>
      <w:r>
        <w:rPr>
          <w:rFonts w:hint="eastAsia" w:ascii="宋体" w:hAnsi="宋体" w:eastAsia="宋体"/>
          <w:bCs/>
          <w:color w:val="000000" w:themeColor="text1"/>
          <w:szCs w:val="21"/>
          <w14:textFill>
            <w14:solidFill>
              <w14:schemeClr w14:val="tx1"/>
            </w14:solidFill>
          </w14:textFill>
        </w:rPr>
        <w:t>月质量目标完成情况检查表，按目标、措施、完成情况、完成情况进行统计，记录内容全，每月统计，质量目标管理满足要求。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标志的使用和（或）任何其他对认证资</w:t>
      </w:r>
      <w:r>
        <w:rPr>
          <w:rFonts w:hint="eastAsia"/>
          <w:bCs/>
          <w:color w:val="000000" w:themeColor="text1"/>
          <w14:textFill>
            <w14:solidFill>
              <w14:schemeClr w14:val="tx1"/>
            </w14:solidFill>
          </w14:textFill>
        </w:rPr>
        <w:t>格引用</w:t>
      </w:r>
      <w:r>
        <w:rPr>
          <w:rFonts w:cs="宋体" w:asciiTheme="minorEastAsia" w:hAnsiTheme="minorEastAsia"/>
          <w:bCs/>
          <w:color w:val="000000" w:themeColor="text1"/>
          <w:kern w:val="0"/>
          <w:szCs w:val="21"/>
          <w14:textFill>
            <w14:solidFill>
              <w14:schemeClr w14:val="tx1"/>
            </w14:solidFill>
          </w14:textFill>
        </w:rPr>
        <w:t>的情况：</w:t>
      </w:r>
    </w:p>
    <w:p>
      <w:pPr>
        <w:widowControl/>
        <w:spacing w:line="360" w:lineRule="auto"/>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 xml:space="preserve"> 用于企业的形象宣传。</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lang w:val="en-US" w:eastAsia="zh-CN"/>
        </w:rPr>
        <w:t>10.</w:t>
      </w:r>
      <w:r>
        <w:rPr>
          <w:rFonts w:hint="eastAsia" w:cs="宋体" w:asciiTheme="minorEastAsia" w:hAnsiTheme="minorEastAsia"/>
          <w:bCs/>
          <w:color w:val="000000" w:themeColor="text1"/>
          <w:kern w:val="0"/>
          <w:szCs w:val="21"/>
        </w:rPr>
        <w:t xml:space="preserve"> 本次监督审核</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出具一般不符合</w:t>
      </w:r>
      <w:r>
        <w:rPr>
          <w:rFonts w:hint="eastAsia" w:cs="宋体" w:asciiTheme="minorEastAsia" w:hAnsiTheme="minorEastAsia"/>
          <w:bCs/>
          <w:color w:val="000000" w:themeColor="text1"/>
          <w:kern w:val="0"/>
          <w:szCs w:val="21"/>
          <w:lang w:val="en-US" w:eastAsia="zh-CN"/>
        </w:rPr>
        <w:t>项</w:t>
      </w:r>
      <w:r>
        <w:rPr>
          <w:rFonts w:hint="eastAsia" w:cs="宋体" w:asciiTheme="minorEastAsia" w:hAnsiTheme="minorEastAsia"/>
          <w:bCs/>
          <w:color w:val="000000" w:themeColor="text1"/>
          <w:kern w:val="0"/>
          <w:szCs w:val="21"/>
        </w:rPr>
        <w:t>，未发现严重的或系统性的不符合情况</w:t>
      </w:r>
      <w:r>
        <w:rPr>
          <w:rFonts w:hint="eastAsia" w:cs="宋体" w:asciiTheme="minorEastAsia" w:hAnsiTheme="minorEastAsia"/>
          <w:bCs/>
          <w:color w:val="000000" w:themeColor="text1"/>
          <w:kern w:val="0"/>
          <w:szCs w:val="21"/>
          <w:lang w:eastAsia="zh-CN"/>
        </w:rPr>
        <w:t>。</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
          <w:bCs w:val="0"/>
          <w:color w:val="000000" w:themeColor="text1"/>
          <w:kern w:val="0"/>
          <w:szCs w:val="21"/>
        </w:rPr>
        <w:t>三、监督审核结论意见</w:t>
      </w:r>
      <w:r>
        <w:rPr>
          <w:rFonts w:hint="eastAsia" w:cs="宋体" w:asciiTheme="minorEastAsia" w:hAnsiTheme="minorEastAsia"/>
          <w:bCs/>
          <w:color w:val="000000" w:themeColor="text1"/>
          <w:kern w:val="0"/>
          <w:szCs w:val="21"/>
        </w:rPr>
        <w:t>(含需要说明的事项):</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通过20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10</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29</w:t>
      </w:r>
      <w:r>
        <w:rPr>
          <w:rFonts w:hint="eastAsia" w:cs="宋体" w:asciiTheme="minorEastAsia" w:hAnsiTheme="minorEastAsia"/>
          <w:bCs/>
          <w:color w:val="000000" w:themeColor="text1"/>
          <w:kern w:val="0"/>
          <w:szCs w:val="21"/>
        </w:rPr>
        <w:t>日-</w:t>
      </w:r>
      <w:r>
        <w:rPr>
          <w:rFonts w:hint="eastAsia" w:cs="宋体" w:asciiTheme="minorEastAsia" w:hAnsiTheme="minorEastAsia"/>
          <w:bCs/>
          <w:color w:val="000000" w:themeColor="text1"/>
          <w:kern w:val="0"/>
          <w:szCs w:val="21"/>
          <w:lang w:val="en-US" w:eastAsia="zh-CN"/>
        </w:rPr>
        <w:t>30</w:t>
      </w:r>
      <w:r>
        <w:rPr>
          <w:rFonts w:hint="eastAsia" w:cs="宋体" w:asciiTheme="minorEastAsia" w:hAnsiTheme="minorEastAsia"/>
          <w:bCs/>
          <w:color w:val="000000" w:themeColor="text1"/>
          <w:kern w:val="0"/>
          <w:szCs w:val="21"/>
        </w:rPr>
        <w:t>日，对宝鸡市陈仓区东升锻造厂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宝鸡市陈仓区东升锻造厂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drawing>
          <wp:anchor distT="0" distB="0" distL="114300" distR="114300" simplePos="0" relativeHeight="251661312" behindDoc="0" locked="0" layoutInCell="1" allowOverlap="1">
            <wp:simplePos x="0" y="0"/>
            <wp:positionH relativeFrom="column">
              <wp:posOffset>1467485</wp:posOffset>
            </wp:positionH>
            <wp:positionV relativeFrom="paragraph">
              <wp:posOffset>278765</wp:posOffset>
            </wp:positionV>
            <wp:extent cx="378460" cy="299085"/>
            <wp:effectExtent l="0" t="0" r="254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8460" cy="29908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2021.10.30</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C43C7"/>
    <w:rsid w:val="313F540D"/>
    <w:rsid w:val="4D603BFA"/>
    <w:rsid w:val="4E504B5E"/>
    <w:rsid w:val="66466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2021-10-31T01:57:43Z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059B3AF6BE2944B7B11DECD2C499159A</vt:lpwstr>
  </property>
</Properties>
</file>