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83"/>
        <w:gridCol w:w="1187"/>
        <w:gridCol w:w="2030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河北斯力恩索具有限公司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E：17.12.03;18.02.02;29.12.00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O：17.12.03;18.02.02;29.12.00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付彦彦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E:17.12.03,18.02.02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O:17.12.03,18.02.02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吊装绳锁具：下料——测量划线——插编——压制——修整绳头——检验——挂标牌——入库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钢丝绳、带：下料——测量划线——插编——压制——修整绳头——检验——挂标牌——入库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公司生产、检验相关标准：主要按顾客合同和要求、《生产工艺流程规范》、《产品检验控过程序》等指导产品生产和确定产品的接收；《生产工艺流程规范》、《产品检验控过程序》等指导产品生产和确定产品的接收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规定了</w:t>
            </w:r>
            <w:r>
              <w:rPr>
                <w:rFonts w:hint="eastAsia" w:ascii="宋体" w:hAnsi="宋体"/>
                <w:szCs w:val="21"/>
              </w:rPr>
              <w:t>产品执行规范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需确认过程：压制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固废排放、污染物排放、火灾事故的发生，环境安全运行控制程序、废弃物控制程序、应急准备和响应控制程序、应急预案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火灾、触电，环境安全运行控制程序、应急准备和响应控制程序、应急预案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付彦彦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341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2021.11.6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67F4EA1"/>
    <w:rsid w:val="435E6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2021-11-20T08:39:46Z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