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生产部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赵金宝</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赵欢</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EMS：5.3、6.2、6.1.2、8.1、8.2，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职责权限</w:t>
            </w:r>
          </w:p>
        </w:tc>
        <w:tc>
          <w:tcPr>
            <w:tcW w:w="1311" w:type="dxa"/>
          </w:tcPr>
          <w:p>
            <w:pPr>
              <w:snapToGrid w:val="0"/>
              <w:spacing w:line="360" w:lineRule="auto"/>
              <w:rPr>
                <w:rFonts w:hint="eastAsia" w:ascii="宋体" w:hAnsi="宋体" w:eastAsia="宋体" w:cs="宋体"/>
                <w:bCs/>
                <w:sz w:val="21"/>
                <w:szCs w:val="21"/>
              </w:rPr>
            </w:pPr>
          </w:p>
          <w:p>
            <w:pPr>
              <w:snapToGrid w:val="0"/>
              <w:spacing w:line="360" w:lineRule="auto"/>
              <w:rPr>
                <w:rFonts w:hint="eastAsia" w:ascii="宋体" w:hAnsi="宋体" w:eastAsia="宋体" w:cs="宋体"/>
                <w:bCs/>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E5.3</w:t>
            </w:r>
            <w:r>
              <w:rPr>
                <w:rFonts w:hint="eastAsia" w:ascii="宋体" w:hAnsi="宋体" w:eastAsia="宋体" w:cs="宋体"/>
                <w:sz w:val="21"/>
                <w:szCs w:val="21"/>
              </w:rPr>
              <w:t xml:space="preserve"> </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生产部</w:t>
            </w:r>
            <w:r>
              <w:rPr>
                <w:rFonts w:hint="eastAsia" w:ascii="宋体" w:hAnsi="宋体" w:eastAsia="宋体" w:cs="宋体"/>
                <w:sz w:val="21"/>
                <w:szCs w:val="21"/>
              </w:rPr>
              <w:t>负责人</w:t>
            </w:r>
            <w:r>
              <w:rPr>
                <w:rFonts w:hint="eastAsia" w:ascii="宋体" w:hAnsi="宋体" w:eastAsia="宋体" w:cs="宋体"/>
                <w:sz w:val="21"/>
                <w:szCs w:val="21"/>
                <w:lang w:val="en-US" w:eastAsia="zh-CN"/>
              </w:rPr>
              <w:t>赵金宝</w:t>
            </w:r>
            <w:r>
              <w:rPr>
                <w:rFonts w:hint="eastAsia" w:ascii="宋体" w:hAnsi="宋体" w:eastAsia="宋体" w:cs="宋体"/>
                <w:sz w:val="21"/>
                <w:szCs w:val="21"/>
              </w:rPr>
              <w:t>，能明确本人在环境管理体系方面的职责：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部门环境因素识别评价及运行控制</w:t>
            </w:r>
            <w:r>
              <w:rPr>
                <w:rFonts w:hint="eastAsia" w:ascii="宋体" w:hAnsi="宋体" w:eastAsia="宋体" w:cs="宋体"/>
                <w:sz w:val="21"/>
                <w:szCs w:val="21"/>
                <w:lang w:eastAsia="zh-CN"/>
              </w:rPr>
              <w:t>；</w:t>
            </w:r>
            <w:r>
              <w:rPr>
                <w:rFonts w:hint="eastAsia" w:ascii="宋体" w:hAnsi="宋体" w:eastAsia="宋体" w:cs="宋体"/>
                <w:sz w:val="21"/>
                <w:szCs w:val="21"/>
              </w:rPr>
              <w:t>负责生产现场运行控制管理，实施监督和检查</w:t>
            </w:r>
            <w:r>
              <w:rPr>
                <w:rFonts w:hint="eastAsia" w:ascii="宋体" w:hAnsi="宋体" w:eastAsia="宋体" w:cs="宋体"/>
                <w:sz w:val="21"/>
                <w:szCs w:val="21"/>
                <w:lang w:eastAsia="zh-CN"/>
              </w:rPr>
              <w:t>；</w:t>
            </w:r>
            <w:r>
              <w:rPr>
                <w:rFonts w:hint="eastAsia" w:ascii="宋体" w:hAnsi="宋体" w:eastAsia="宋体" w:cs="宋体"/>
                <w:sz w:val="21"/>
                <w:szCs w:val="21"/>
              </w:rPr>
              <w:t>贯彻公司环境管理方针、目标、指标和方案，组织协调生产过程中重要环境因素的有效控制；根据公司生产经营计划合理调度，合理配置动力能源，提高能源利用率；参加环境事件的调查处理工作</w:t>
            </w:r>
            <w:r>
              <w:rPr>
                <w:rFonts w:hint="eastAsia" w:ascii="宋体" w:hAnsi="宋体" w:eastAsia="宋体" w:cs="宋体"/>
                <w:sz w:val="21"/>
                <w:szCs w:val="21"/>
                <w:lang w:eastAsia="zh-CN"/>
              </w:rPr>
              <w:t>；</w:t>
            </w:r>
            <w:r>
              <w:rPr>
                <w:rFonts w:hint="eastAsia" w:ascii="宋体" w:hAnsi="宋体" w:eastAsia="宋体" w:cs="宋体"/>
                <w:sz w:val="21"/>
                <w:szCs w:val="21"/>
              </w:rPr>
              <w:t>负责产品交付与发运过程的环境管理工作</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31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tc>
        <w:tc>
          <w:tcPr>
            <w:tcW w:w="10004"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本部门的目标有:</w:t>
            </w:r>
          </w:p>
          <w:tbl>
            <w:tblPr>
              <w:tblStyle w:val="8"/>
              <w:tblW w:w="8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660"/>
              <w:gridCol w:w="3101"/>
              <w:gridCol w:w="12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935"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部 门</w:t>
                  </w:r>
                </w:p>
              </w:tc>
              <w:tc>
                <w:tcPr>
                  <w:tcW w:w="36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目            标</w:t>
                  </w:r>
                </w:p>
              </w:tc>
              <w:tc>
                <w:tcPr>
                  <w:tcW w:w="3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bCs/>
                      <w:color w:val="000000"/>
                      <w:sz w:val="21"/>
                      <w:szCs w:val="21"/>
                    </w:rPr>
                    <w:t>计    算    方    法</w:t>
                  </w: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统计结果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935"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生产</w:t>
                  </w:r>
                  <w:r>
                    <w:rPr>
                      <w:rFonts w:hint="eastAsia" w:ascii="宋体" w:hAnsi="宋体" w:eastAsia="宋体" w:cs="宋体"/>
                      <w:color w:val="000000"/>
                      <w:sz w:val="21"/>
                      <w:szCs w:val="21"/>
                      <w:lang w:val="en-US" w:eastAsia="zh-CN"/>
                    </w:rPr>
                    <w:t>部</w:t>
                  </w:r>
                </w:p>
              </w:tc>
              <w:tc>
                <w:tcPr>
                  <w:tcW w:w="36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环保设备按期检定率100%</w:t>
                  </w:r>
                </w:p>
              </w:tc>
              <w:tc>
                <w:tcPr>
                  <w:tcW w:w="3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按期检定数量/环保设备总数</w:t>
                  </w: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935" w:type="dxa"/>
                  <w:vMerge w:val="continue"/>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p>
              </w:tc>
              <w:tc>
                <w:tcPr>
                  <w:tcW w:w="36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安全环保检查整改计划落实率 100%</w:t>
                  </w:r>
                </w:p>
              </w:tc>
              <w:tc>
                <w:tcPr>
                  <w:tcW w:w="3101"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有效整改数/整改项总数</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color w:val="000000"/>
                      <w:spacing w:val="-8"/>
                      <w:kern w:val="0"/>
                      <w:sz w:val="21"/>
                      <w:szCs w:val="21"/>
                    </w:rPr>
                  </w:pPr>
                  <w:r>
                    <w:rPr>
                      <w:rFonts w:hint="eastAsia" w:ascii="宋体" w:hAnsi="宋体" w:eastAsia="宋体" w:cs="宋体"/>
                      <w:bCs/>
                      <w:color w:val="000000"/>
                      <w:spacing w:val="-8"/>
                      <w:kern w:val="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935" w:type="dxa"/>
                  <w:vMerge w:val="continue"/>
                  <w:tcBorders>
                    <w:left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p>
              </w:tc>
              <w:tc>
                <w:tcPr>
                  <w:tcW w:w="36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固体废弃物有效处理率为100%；</w:t>
                  </w:r>
                </w:p>
              </w:tc>
              <w:tc>
                <w:tcPr>
                  <w:tcW w:w="3101"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按规定处理次数/处理总次数</w:t>
                  </w: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935" w:type="dxa"/>
                  <w:vMerge w:val="continue"/>
                  <w:tcBorders>
                    <w:left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p>
              </w:tc>
              <w:tc>
                <w:tcPr>
                  <w:tcW w:w="3660" w:type="dxa"/>
                  <w:tcBorders>
                    <w:top w:val="single" w:color="auto" w:sz="4" w:space="0"/>
                    <w:left w:val="single" w:color="auto" w:sz="4" w:space="0"/>
                    <w:bottom w:val="single" w:color="auto" w:sz="4" w:space="0"/>
                    <w:right w:val="single" w:color="auto" w:sz="4" w:space="0"/>
                  </w:tcBorders>
                  <w:vAlign w:val="center"/>
                </w:tcPr>
                <w:p>
                  <w:pPr>
                    <w:tabs>
                      <w:tab w:val="left" w:pos="700"/>
                      <w:tab w:val="left" w:pos="2032"/>
                    </w:tabs>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无环境污染投诉事故</w:t>
                  </w:r>
                </w:p>
              </w:tc>
              <w:tc>
                <w:tcPr>
                  <w:tcW w:w="3101"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环境投诉事故次数</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935" w:type="dxa"/>
                  <w:vMerge w:val="continue"/>
                  <w:tcBorders>
                    <w:left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p>
              </w:tc>
              <w:tc>
                <w:tcPr>
                  <w:tcW w:w="36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无火灾事故</w:t>
                  </w:r>
                </w:p>
              </w:tc>
              <w:tc>
                <w:tcPr>
                  <w:tcW w:w="3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火灾次数</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无</w:t>
                  </w:r>
                </w:p>
              </w:tc>
            </w:tr>
          </w:tbl>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 xml:space="preserve">2021.07.11 </w:t>
            </w:r>
            <w:r>
              <w:rPr>
                <w:rFonts w:hint="eastAsia" w:ascii="宋体" w:hAnsi="宋体" w:eastAsia="宋体" w:cs="宋体"/>
                <w:sz w:val="21"/>
                <w:szCs w:val="21"/>
              </w:rPr>
              <w:t xml:space="preserve">日经考核目标已达成。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环境因素</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E6.1.2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部门负责人介绍识别环境因素时考虑了三种时态，过去、现在和将来，三种状态，正常、异常和紧急，按照办公过程及生产过程等进行了辨识。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查《环境因素识别评价汇总表》，对本部门生产和办公等有关过程的环境因素。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生产</w:t>
            </w:r>
            <w:r>
              <w:rPr>
                <w:rFonts w:hint="eastAsia" w:ascii="宋体" w:hAnsi="宋体" w:eastAsia="宋体" w:cs="宋体"/>
                <w:sz w:val="21"/>
                <w:szCs w:val="21"/>
              </w:rPr>
              <w:t>过程中的油品泄漏油、品更换、含油手套、抹布、产品生锈腐蚀、固废（</w:t>
            </w:r>
            <w:r>
              <w:rPr>
                <w:rFonts w:hint="eastAsia" w:ascii="宋体" w:hAnsi="宋体" w:eastAsia="宋体" w:cs="宋体"/>
                <w:sz w:val="21"/>
                <w:szCs w:val="21"/>
                <w:lang w:val="en-US" w:eastAsia="zh-CN"/>
              </w:rPr>
              <w:t>铁屑、边角料、不合格工件、收集的抛丸粉尘、废机油、生活垃圾等</w:t>
            </w:r>
            <w:r>
              <w:rPr>
                <w:rFonts w:hint="eastAsia" w:ascii="宋体" w:hAnsi="宋体" w:eastAsia="宋体" w:cs="宋体"/>
                <w:sz w:val="21"/>
                <w:szCs w:val="21"/>
              </w:rPr>
              <w:t>）造成的土壤污染、水资源消耗、电能消耗、意外火灾引起的污染大气、生产过程（噪声排放、火灾、电能消耗、废气排放、废水排放）、设备维修（废弃丢弃、漏油）等环境因素。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重要环境因素清单》，公司涉及重要环境因素：设备噪声排放、生产过程中粉尘废气的产生、工作服、手套、工具、下脚料等固体废物的排放、生活和生产废水排放、化学品的泄漏、润滑油的跑冒滴漏、火灾事故的发生等，本部门涉及的重要环境因素：均有涉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TW"/>
              </w:rPr>
              <w:t>对于</w:t>
            </w:r>
            <w:r>
              <w:rPr>
                <w:rFonts w:hint="eastAsia" w:ascii="宋体" w:hAnsi="宋体" w:eastAsia="宋体" w:cs="宋体"/>
                <w:sz w:val="21"/>
                <w:szCs w:val="21"/>
              </w:rPr>
              <w:t>环境因素主要通过运行控制、管理方案、加装废气处理设施、应急准备与响应进行控制。</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生产部</w:t>
            </w:r>
            <w:r>
              <w:rPr>
                <w:rFonts w:hint="eastAsia" w:ascii="宋体" w:hAnsi="宋体" w:eastAsia="宋体" w:cs="宋体"/>
                <w:sz w:val="21"/>
                <w:szCs w:val="21"/>
              </w:rPr>
              <w:t>环境因素识别、评价基本符合标准要求。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E8.1</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执行</w:t>
            </w:r>
            <w:r>
              <w:rPr>
                <w:rFonts w:hint="eastAsia" w:ascii="宋体" w:hAnsi="宋体" w:eastAsia="宋体" w:cs="宋体"/>
                <w:sz w:val="21"/>
                <w:szCs w:val="21"/>
              </w:rPr>
              <w:t>《环境管理控制程序》、《固体废弃物污染防治控制程序》、《废水污染防治控制程序》、《废气防治污染控制程序》、《噪声防治污染控制程序》、《能源资源管理控制程序》、《危险化学品管理控制程序》、《环保设备设施运行控制程序》、《应急预案》等。</w:t>
            </w:r>
          </w:p>
          <w:p>
            <w:pPr>
              <w:numPr>
                <w:ilvl w:val="0"/>
                <w:numId w:val="1"/>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废水管控：</w:t>
            </w:r>
            <w:r>
              <w:rPr>
                <w:rFonts w:hint="eastAsia" w:ascii="宋体" w:hAnsi="宋体" w:eastAsia="宋体" w:cs="宋体"/>
                <w:sz w:val="21"/>
                <w:szCs w:val="21"/>
                <w:lang w:val="en-US" w:eastAsia="zh-CN"/>
              </w:rPr>
              <w:t>企业生产无废水，洗手废水用于洒水抑尘，</w:t>
            </w:r>
            <w:r>
              <w:rPr>
                <w:rFonts w:hint="eastAsia" w:ascii="宋体" w:hAnsi="宋体" w:eastAsia="宋体" w:cs="宋体"/>
                <w:sz w:val="21"/>
                <w:szCs w:val="21"/>
              </w:rPr>
              <w:t>生产区设置旱厕，人工粪便由周边农户定期清掏用于周边耕地施肥。</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2、废气管控：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抛丸粉尘</w:t>
            </w:r>
            <w:r>
              <w:rPr>
                <w:rFonts w:hint="eastAsia" w:ascii="宋体" w:hAnsi="宋体" w:eastAsia="宋体" w:cs="宋体"/>
                <w:sz w:val="21"/>
                <w:szCs w:val="21"/>
              </w:rPr>
              <w:t>，由风机引至自带布袋除尘器处理后由不低于满15m排气筒排放:做好抛丸车间内的通风工作，保证车间内通风换气达6次</w:t>
            </w:r>
            <w:r>
              <w:rPr>
                <w:rFonts w:hint="eastAsia" w:ascii="宋体" w:hAnsi="宋体" w:eastAsia="宋体" w:cs="宋体"/>
                <w:sz w:val="21"/>
                <w:szCs w:val="21"/>
                <w:lang w:val="en-US" w:eastAsia="zh-CN"/>
              </w:rPr>
              <w:t>/</w:t>
            </w:r>
            <w:r>
              <w:rPr>
                <w:rFonts w:hint="eastAsia" w:ascii="宋体" w:hAnsi="宋体" w:eastAsia="宋体" w:cs="宋体"/>
                <w:sz w:val="21"/>
                <w:szCs w:val="21"/>
              </w:rPr>
              <w:t>h以上</w:t>
            </w:r>
            <w:r>
              <w:rPr>
                <w:rFonts w:hint="eastAsia" w:ascii="宋体" w:hAnsi="宋体" w:eastAsia="宋体" w:cs="宋体"/>
                <w:sz w:val="21"/>
                <w:szCs w:val="21"/>
                <w:lang w:val="en-US" w:eastAsia="zh-CN"/>
              </w:rPr>
              <w:t>。经检测满足《大气污染物综合排放标准》(GB16297-1996)相关指标要求。</w:t>
            </w:r>
            <w:r>
              <w:rPr>
                <w:rFonts w:hint="eastAsia" w:ascii="宋体" w:hAnsi="宋体" w:eastAsia="宋体" w:cs="宋体"/>
                <w:sz w:val="21"/>
                <w:szCs w:val="21"/>
              </w:rPr>
              <w:t>经无组织废气监测符合排放标准要求。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3、噪声管控：</w:t>
            </w:r>
          </w:p>
          <w:p>
            <w:pPr>
              <w:spacing w:line="360" w:lineRule="auto"/>
              <w:ind w:firstLine="421"/>
              <w:rPr>
                <w:rFonts w:hint="eastAsia" w:ascii="宋体" w:hAnsi="宋体" w:eastAsia="宋体" w:cs="宋体"/>
                <w:sz w:val="21"/>
                <w:szCs w:val="21"/>
                <w:lang w:eastAsia="zh-CN"/>
              </w:rPr>
            </w:pPr>
            <w:r>
              <w:rPr>
                <w:rFonts w:hint="eastAsia" w:ascii="宋体" w:hAnsi="宋体" w:eastAsia="宋体" w:cs="宋体"/>
                <w:sz w:val="21"/>
                <w:szCs w:val="21"/>
              </w:rPr>
              <w:t>项目投入使用后噪声主要为抛丸机、中频炉、正火炉、车床、辗环机、空压机、棒料剪断机等设备运行时产生的噪声</w:t>
            </w:r>
            <w:r>
              <w:rPr>
                <w:rFonts w:hint="eastAsia" w:ascii="宋体" w:hAnsi="宋体" w:eastAsia="宋体" w:cs="宋体"/>
                <w:sz w:val="21"/>
                <w:szCs w:val="21"/>
                <w:lang w:eastAsia="zh-CN"/>
              </w:rPr>
              <w:t>，</w:t>
            </w:r>
            <w:r>
              <w:rPr>
                <w:rFonts w:hint="eastAsia" w:ascii="宋体" w:hAnsi="宋体" w:eastAsia="宋体" w:cs="宋体"/>
                <w:sz w:val="21"/>
                <w:szCs w:val="21"/>
              </w:rPr>
              <w:t>由监测结果可知，现有企业各侧厂界昼夜间噪声现状监测值均能达到《工业企业厂界环境噪声排放标准》(GB12348-2008)中的2类区标准</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生产过程产生的设备噪声，采取厂房内操作和选用低噪声的设备和工具并做消声和减振处理，同时加强设备的检查和维保，确保机械设备在正常工况下运行，经噪声监测达标排放。</w:t>
            </w:r>
          </w:p>
          <w:p>
            <w:pPr>
              <w:numPr>
                <w:ilvl w:val="0"/>
                <w:numId w:val="2"/>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固废管控：废金属屑及边角料经厂区内收集后外售至物资回收公司;废次品经厂区内收集后外售至物资回收公司;废机油、废液压油、废磨削液、废乳化液及废包装桶经厂区内集中收集后委托有危险废物处理资质的单位进行处理:收集粉尘经厂区内收集后外售至物资回收公司:员工生活垃圾经厂区内集中收集后由当地环卫部门统一清运。</w:t>
            </w:r>
          </w:p>
          <w:p>
            <w:pPr>
              <w:spacing w:line="360" w:lineRule="auto"/>
              <w:rPr>
                <w:rFonts w:hint="eastAsia" w:ascii="宋体" w:hAnsi="宋体" w:eastAsia="宋体" w:cs="宋体"/>
                <w:sz w:val="21"/>
                <w:szCs w:val="21"/>
              </w:rPr>
            </w:pPr>
            <w:r>
              <w:rPr>
                <w:rFonts w:hint="eastAsia" w:ascii="宋体" w:hAnsi="宋体" w:eastAsia="宋体" w:cs="宋体"/>
                <w:sz w:val="21"/>
                <w:szCs w:val="21"/>
              </w:rPr>
              <w:t>5、能源资源管控：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生产过程注意节水、节电，人走关闭设备和照明开关，现场未发现有漏水和浪费电能的现象。</w:t>
            </w:r>
          </w:p>
          <w:p>
            <w:pPr>
              <w:spacing w:line="360" w:lineRule="auto"/>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公司从工艺设计和采购产品时已考虑了产品的环保性（包括原材料），生产过程中，严格按照环保等管理制度实施，控制好辅助材料的用量，避免浪费，生命周期终了时钢材进行了回收再利用。</w:t>
            </w:r>
          </w:p>
          <w:p>
            <w:pPr>
              <w:spacing w:line="360" w:lineRule="auto"/>
              <w:rPr>
                <w:rFonts w:hint="eastAsia" w:ascii="宋体" w:hAnsi="宋体" w:eastAsia="宋体" w:cs="宋体"/>
                <w:sz w:val="21"/>
                <w:szCs w:val="21"/>
              </w:rPr>
            </w:pPr>
            <w:r>
              <w:rPr>
                <w:rFonts w:hint="eastAsia" w:ascii="宋体" w:hAnsi="宋体" w:eastAsia="宋体" w:cs="宋体"/>
                <w:sz w:val="21"/>
                <w:szCs w:val="21"/>
              </w:rPr>
              <w:t>7、潜在火灾管控：公司生产车间和办公区域配备了灭火器。</w:t>
            </w:r>
          </w:p>
          <w:p>
            <w:pPr>
              <w:spacing w:line="360" w:lineRule="auto"/>
              <w:rPr>
                <w:rFonts w:hint="eastAsia" w:ascii="宋体" w:hAnsi="宋体" w:eastAsia="宋体" w:cs="宋体"/>
                <w:sz w:val="21"/>
                <w:szCs w:val="21"/>
              </w:rPr>
            </w:pPr>
            <w:r>
              <w:rPr>
                <w:rFonts w:hint="eastAsia" w:ascii="宋体" w:hAnsi="宋体" w:eastAsia="宋体" w:cs="宋体"/>
                <w:sz w:val="21"/>
                <w:szCs w:val="21"/>
              </w:rPr>
              <w:t>8、按有关程序和要求通报供方和顾客，采用〈告知函〉方式通报。查到相关方告知书</w:t>
            </w:r>
          </w:p>
          <w:p>
            <w:pPr>
              <w:spacing w:line="360" w:lineRule="auto"/>
              <w:rPr>
                <w:rFonts w:hint="eastAsia" w:ascii="宋体" w:hAnsi="宋体" w:eastAsia="宋体" w:cs="宋体"/>
                <w:sz w:val="21"/>
                <w:szCs w:val="21"/>
              </w:rPr>
            </w:pPr>
            <w:r>
              <w:rPr>
                <w:rFonts w:hint="eastAsia" w:ascii="宋体" w:hAnsi="宋体" w:eastAsia="宋体" w:cs="宋体"/>
                <w:sz w:val="21"/>
                <w:szCs w:val="21"/>
              </w:rPr>
              <w:t>9、企业有</w:t>
            </w:r>
            <w:r>
              <w:rPr>
                <w:rFonts w:hint="eastAsia" w:ascii="宋体" w:hAnsi="宋体" w:eastAsia="宋体" w:cs="宋体"/>
                <w:sz w:val="21"/>
                <w:szCs w:val="21"/>
                <w:lang w:val="en-US" w:eastAsia="zh-CN"/>
              </w:rPr>
              <w:t>叉车</w:t>
            </w:r>
            <w:r>
              <w:rPr>
                <w:rFonts w:hint="eastAsia" w:ascii="宋体" w:hAnsi="宋体" w:eastAsia="宋体" w:cs="宋体"/>
                <w:sz w:val="21"/>
                <w:szCs w:val="21"/>
              </w:rPr>
              <w:t>，查到了</w:t>
            </w:r>
            <w:r>
              <w:rPr>
                <w:rFonts w:hint="eastAsia" w:ascii="宋体" w:hAnsi="宋体" w:eastAsia="宋体" w:cs="宋体"/>
                <w:sz w:val="21"/>
                <w:szCs w:val="21"/>
                <w:lang w:val="en-US" w:eastAsia="zh-CN"/>
              </w:rPr>
              <w:t>叉车</w:t>
            </w:r>
            <w:r>
              <w:rPr>
                <w:rFonts w:hint="eastAsia" w:ascii="宋体" w:hAnsi="宋体" w:eastAsia="宋体" w:cs="宋体"/>
                <w:sz w:val="21"/>
                <w:szCs w:val="21"/>
              </w:rPr>
              <w:t>的检验报告和合格证，均在有效期内，查到操作工证均在有效期内。</w:t>
            </w:r>
          </w:p>
          <w:p>
            <w:pPr>
              <w:pStyle w:val="2"/>
              <w:spacing w:line="360" w:lineRule="auto"/>
              <w:ind w:firstLine="210" w:firstLineChars="100"/>
              <w:jc w:val="both"/>
              <w:rPr>
                <w:rFonts w:hint="default" w:eastAsia="宋体"/>
                <w:lang w:val="en-US" w:eastAsia="zh-CN"/>
              </w:rPr>
            </w:pPr>
            <w:r>
              <w:rPr>
                <w:rFonts w:hint="eastAsia" w:ascii="宋体" w:hAnsi="宋体" w:eastAsia="宋体" w:cs="宋体"/>
                <w:sz w:val="21"/>
                <w:szCs w:val="21"/>
                <w:lang w:val="en-US" w:eastAsia="zh-CN"/>
              </w:rPr>
              <w:t>起重机为2.8T，提供合格证</w:t>
            </w:r>
          </w:p>
          <w:p>
            <w:pPr>
              <w:spacing w:line="360" w:lineRule="auto"/>
              <w:rPr>
                <w:rFonts w:hint="eastAsia" w:ascii="宋体" w:hAnsi="宋体" w:eastAsia="宋体" w:cs="宋体"/>
                <w:sz w:val="21"/>
                <w:szCs w:val="21"/>
              </w:rPr>
            </w:pPr>
            <w:r>
              <w:rPr>
                <w:rFonts w:hint="eastAsia" w:ascii="宋体" w:hAnsi="宋体" w:eastAsia="宋体" w:cs="宋体"/>
                <w:sz w:val="21"/>
                <w:szCs w:val="21"/>
              </w:rPr>
              <w:t>10、现场观察运行控制：</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现场巡视办公及生产区域配备有灭火器多个，各车间均配有灭火器。</w:t>
            </w:r>
          </w:p>
          <w:p>
            <w:pPr>
              <w:spacing w:line="360" w:lineRule="auto"/>
              <w:rPr>
                <w:rFonts w:hint="eastAsia" w:ascii="宋体" w:hAnsi="宋体" w:eastAsia="宋体" w:cs="宋体"/>
                <w:sz w:val="21"/>
                <w:szCs w:val="21"/>
              </w:rPr>
            </w:pPr>
            <w:r>
              <w:rPr>
                <w:rFonts w:hint="eastAsia" w:ascii="宋体" w:hAnsi="宋体" w:eastAsia="宋体" w:cs="宋体"/>
                <w:sz w:val="21"/>
                <w:szCs w:val="21"/>
              </w:rPr>
              <w:t>与抛丸、</w:t>
            </w:r>
            <w:r>
              <w:rPr>
                <w:rFonts w:hint="eastAsia" w:ascii="宋体" w:hAnsi="宋体" w:eastAsia="宋体" w:cs="宋体"/>
                <w:sz w:val="21"/>
                <w:szCs w:val="21"/>
                <w:lang w:val="en-US" w:eastAsia="zh-CN"/>
              </w:rPr>
              <w:t>机加工人等</w:t>
            </w:r>
            <w:r>
              <w:rPr>
                <w:rFonts w:hint="eastAsia" w:ascii="宋体" w:hAnsi="宋体" w:eastAsia="宋体" w:cs="宋体"/>
                <w:sz w:val="21"/>
                <w:szCs w:val="21"/>
              </w:rPr>
              <w:t xml:space="preserve">岗位操作人员交流了解到，员工均接受过环保和职业健康安全相关知识的培训，包括应急预案及演练等，现场人员交流对机械伤害、防火、逃生均较为清楚、明确，了解本岗位的设备安全操作规程。 </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生产车间内现场设备和电线布线合理，电线均处于完好状态，设备有接地及保护装置，控制柜及漏电保护器状态良好。</w:t>
            </w:r>
          </w:p>
          <w:p>
            <w:pPr>
              <w:spacing w:line="360" w:lineRule="auto"/>
              <w:ind w:firstLine="210" w:firstLineChars="100"/>
              <w:rPr>
                <w:rFonts w:hint="eastAsia" w:ascii="宋体" w:hAnsi="宋体" w:eastAsia="宋体" w:cs="宋体"/>
                <w:b/>
                <w:bCs/>
                <w:sz w:val="21"/>
                <w:szCs w:val="21"/>
              </w:rPr>
            </w:pPr>
            <w:r>
              <w:rPr>
                <w:rFonts w:hint="eastAsia" w:ascii="宋体" w:hAnsi="宋体" w:eastAsia="宋体" w:cs="宋体"/>
                <w:sz w:val="21"/>
                <w:szCs w:val="21"/>
              </w:rPr>
              <w:t>车间现场在环保方面的控制管理基本有效。</w:t>
            </w:r>
          </w:p>
        </w:tc>
        <w:tc>
          <w:tcPr>
            <w:tcW w:w="1585" w:type="dxa"/>
          </w:tcPr>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pStyle w:val="2"/>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应急准备和相应</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bCs/>
                <w:sz w:val="21"/>
                <w:szCs w:val="21"/>
              </w:rPr>
              <w:t>E8.2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生产部</w:t>
            </w:r>
            <w:r>
              <w:rPr>
                <w:rFonts w:hint="eastAsia" w:ascii="宋体" w:hAnsi="宋体" w:eastAsia="宋体" w:cs="宋体"/>
                <w:sz w:val="21"/>
                <w:szCs w:val="21"/>
              </w:rPr>
              <w:t>按照策划的《应急准备和响应控制程序程序》《消防安全应急预案》等，明确了相应的运行准则。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生产过程中加强用电安全，防止触电事故和火灾事故的发生，安装了漏电保护器。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现场审核时现场查看车间门口有灭火器若干，在有效期内。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生产现场有“禁止吸烟”， 等环保、安全警示标识。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2021.9.20</w:t>
            </w:r>
            <w:r>
              <w:rPr>
                <w:rFonts w:hint="eastAsia" w:ascii="宋体" w:hAnsi="宋体" w:eastAsia="宋体" w:cs="宋体"/>
                <w:sz w:val="21"/>
                <w:szCs w:val="21"/>
              </w:rPr>
              <w:t>日</w:t>
            </w:r>
            <w:bookmarkStart w:id="0" w:name="_GoBack"/>
            <w:bookmarkEnd w:id="0"/>
            <w:r>
              <w:rPr>
                <w:rFonts w:hint="eastAsia" w:ascii="宋体" w:hAnsi="宋体" w:eastAsia="宋体" w:cs="宋体"/>
                <w:sz w:val="21"/>
                <w:szCs w:val="21"/>
              </w:rPr>
              <w:t>参加了总公司组织的消防应急预案演练。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自体系运行以来未出现应急事故情况。</w:t>
            </w:r>
          </w:p>
        </w:tc>
        <w:tc>
          <w:tcPr>
            <w:tcW w:w="1585" w:type="dxa"/>
          </w:tcPr>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09" w:type="dxa"/>
          </w:tcPr>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bl>
    <w:p>
      <w:pPr>
        <w:spacing w:line="360" w:lineRule="auto"/>
        <w:rPr>
          <w:rFonts w:ascii="楷体" w:hAnsi="楷体" w:eastAsia="楷体"/>
        </w:rPr>
      </w:pPr>
      <w:r>
        <w:rPr>
          <w:rFonts w:ascii="楷体" w:hAnsi="楷体" w:eastAsia="楷体"/>
        </w:rPr>
        <w:ptab w:relativeTo="margin" w:alignment="center" w:leader="none"/>
      </w:r>
    </w:p>
    <w:p>
      <w:pPr>
        <w:spacing w:line="360" w:lineRule="auto"/>
        <w:rPr>
          <w:rFonts w:ascii="楷体" w:hAnsi="楷体" w:eastAsia="楷体"/>
        </w:rPr>
      </w:pPr>
    </w:p>
    <w:p>
      <w:pPr>
        <w:pStyle w:val="5"/>
        <w:spacing w:line="360" w:lineRule="auto"/>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5A3B2"/>
    <w:multiLevelType w:val="singleLevel"/>
    <w:tmpl w:val="C675A3B2"/>
    <w:lvl w:ilvl="0" w:tentative="0">
      <w:start w:val="4"/>
      <w:numFmt w:val="decimal"/>
      <w:suff w:val="nothing"/>
      <w:lvlText w:val="%1、"/>
      <w:lvlJc w:val="left"/>
    </w:lvl>
  </w:abstractNum>
  <w:abstractNum w:abstractNumId="1">
    <w:nsid w:val="0C10E4DD"/>
    <w:multiLevelType w:val="singleLevel"/>
    <w:tmpl w:val="0C10E4D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2A2"/>
    <w:rsid w:val="00010B05"/>
    <w:rsid w:val="00020CA6"/>
    <w:rsid w:val="000214B6"/>
    <w:rsid w:val="00032462"/>
    <w:rsid w:val="0003373A"/>
    <w:rsid w:val="000421F8"/>
    <w:rsid w:val="00050B17"/>
    <w:rsid w:val="0005199E"/>
    <w:rsid w:val="000557D8"/>
    <w:rsid w:val="0005697E"/>
    <w:rsid w:val="00061925"/>
    <w:rsid w:val="00062EC3"/>
    <w:rsid w:val="00081821"/>
    <w:rsid w:val="00084276"/>
    <w:rsid w:val="000849D2"/>
    <w:rsid w:val="000A5E44"/>
    <w:rsid w:val="000A6DBB"/>
    <w:rsid w:val="000B1394"/>
    <w:rsid w:val="000B13C1"/>
    <w:rsid w:val="000B40BD"/>
    <w:rsid w:val="000C123B"/>
    <w:rsid w:val="000D0422"/>
    <w:rsid w:val="000E2B69"/>
    <w:rsid w:val="000E43EE"/>
    <w:rsid w:val="000F0B40"/>
    <w:rsid w:val="000F35F1"/>
    <w:rsid w:val="000F49B5"/>
    <w:rsid w:val="00102221"/>
    <w:rsid w:val="001027A6"/>
    <w:rsid w:val="00102C0C"/>
    <w:rsid w:val="001037D5"/>
    <w:rsid w:val="00127276"/>
    <w:rsid w:val="00133A9E"/>
    <w:rsid w:val="00133F17"/>
    <w:rsid w:val="00160177"/>
    <w:rsid w:val="00162423"/>
    <w:rsid w:val="00164832"/>
    <w:rsid w:val="00171246"/>
    <w:rsid w:val="00183D2D"/>
    <w:rsid w:val="00186785"/>
    <w:rsid w:val="00191AFC"/>
    <w:rsid w:val="00194BAF"/>
    <w:rsid w:val="0019749C"/>
    <w:rsid w:val="001A2D7F"/>
    <w:rsid w:val="001A3DF8"/>
    <w:rsid w:val="001A4802"/>
    <w:rsid w:val="001C1344"/>
    <w:rsid w:val="001C345C"/>
    <w:rsid w:val="001C5C73"/>
    <w:rsid w:val="001C5C87"/>
    <w:rsid w:val="001D0C70"/>
    <w:rsid w:val="00206BE5"/>
    <w:rsid w:val="00214671"/>
    <w:rsid w:val="00222532"/>
    <w:rsid w:val="00234803"/>
    <w:rsid w:val="00237445"/>
    <w:rsid w:val="00241B7D"/>
    <w:rsid w:val="002673C1"/>
    <w:rsid w:val="0028271B"/>
    <w:rsid w:val="002926AE"/>
    <w:rsid w:val="00295B8A"/>
    <w:rsid w:val="002A0E6E"/>
    <w:rsid w:val="002A1B7E"/>
    <w:rsid w:val="002A7679"/>
    <w:rsid w:val="002B018A"/>
    <w:rsid w:val="002C3E0D"/>
    <w:rsid w:val="002D41FB"/>
    <w:rsid w:val="002D46B3"/>
    <w:rsid w:val="002E09DF"/>
    <w:rsid w:val="002E1E1D"/>
    <w:rsid w:val="002E1F5A"/>
    <w:rsid w:val="002F4DA9"/>
    <w:rsid w:val="003015A0"/>
    <w:rsid w:val="003046BD"/>
    <w:rsid w:val="003358F7"/>
    <w:rsid w:val="003370D7"/>
    <w:rsid w:val="00337922"/>
    <w:rsid w:val="00340867"/>
    <w:rsid w:val="00342857"/>
    <w:rsid w:val="00355472"/>
    <w:rsid w:val="00361197"/>
    <w:rsid w:val="003627B6"/>
    <w:rsid w:val="003655B1"/>
    <w:rsid w:val="003708D5"/>
    <w:rsid w:val="00380837"/>
    <w:rsid w:val="00381A3A"/>
    <w:rsid w:val="003836CA"/>
    <w:rsid w:val="00386A98"/>
    <w:rsid w:val="003B712F"/>
    <w:rsid w:val="003D6BE3"/>
    <w:rsid w:val="003F20A5"/>
    <w:rsid w:val="004012E9"/>
    <w:rsid w:val="00405D5F"/>
    <w:rsid w:val="00410914"/>
    <w:rsid w:val="00425E89"/>
    <w:rsid w:val="00432436"/>
    <w:rsid w:val="0043494E"/>
    <w:rsid w:val="00453CC3"/>
    <w:rsid w:val="00463775"/>
    <w:rsid w:val="00465FE1"/>
    <w:rsid w:val="00475FEA"/>
    <w:rsid w:val="004772FA"/>
    <w:rsid w:val="00483C7A"/>
    <w:rsid w:val="00491735"/>
    <w:rsid w:val="00492096"/>
    <w:rsid w:val="004A368C"/>
    <w:rsid w:val="004B217F"/>
    <w:rsid w:val="004B5E36"/>
    <w:rsid w:val="004C07FE"/>
    <w:rsid w:val="004E4394"/>
    <w:rsid w:val="004E4AA7"/>
    <w:rsid w:val="00500FC6"/>
    <w:rsid w:val="00513D49"/>
    <w:rsid w:val="00521CF0"/>
    <w:rsid w:val="00533E7D"/>
    <w:rsid w:val="00536930"/>
    <w:rsid w:val="00536EB7"/>
    <w:rsid w:val="00544570"/>
    <w:rsid w:val="00555215"/>
    <w:rsid w:val="00564E53"/>
    <w:rsid w:val="00570D1C"/>
    <w:rsid w:val="00583277"/>
    <w:rsid w:val="00592C3E"/>
    <w:rsid w:val="005A000F"/>
    <w:rsid w:val="005B0413"/>
    <w:rsid w:val="005B6888"/>
    <w:rsid w:val="005C1225"/>
    <w:rsid w:val="005D76D0"/>
    <w:rsid w:val="005E489C"/>
    <w:rsid w:val="005F1B92"/>
    <w:rsid w:val="005F3411"/>
    <w:rsid w:val="005F6C65"/>
    <w:rsid w:val="005F7730"/>
    <w:rsid w:val="00600F02"/>
    <w:rsid w:val="00603024"/>
    <w:rsid w:val="0060444D"/>
    <w:rsid w:val="00611DAE"/>
    <w:rsid w:val="00623D43"/>
    <w:rsid w:val="00634439"/>
    <w:rsid w:val="00642776"/>
    <w:rsid w:val="00644FE2"/>
    <w:rsid w:val="00645FB8"/>
    <w:rsid w:val="00646B24"/>
    <w:rsid w:val="00651986"/>
    <w:rsid w:val="006545E8"/>
    <w:rsid w:val="00664CAA"/>
    <w:rsid w:val="00665980"/>
    <w:rsid w:val="006702AA"/>
    <w:rsid w:val="0067640C"/>
    <w:rsid w:val="00684534"/>
    <w:rsid w:val="00692C4C"/>
    <w:rsid w:val="00694F0E"/>
    <w:rsid w:val="00695256"/>
    <w:rsid w:val="00695570"/>
    <w:rsid w:val="00696AF1"/>
    <w:rsid w:val="006A1F44"/>
    <w:rsid w:val="006A3B31"/>
    <w:rsid w:val="006A68F3"/>
    <w:rsid w:val="006A7EAD"/>
    <w:rsid w:val="006B4127"/>
    <w:rsid w:val="006B5535"/>
    <w:rsid w:val="006B6352"/>
    <w:rsid w:val="006B7A73"/>
    <w:rsid w:val="006C40B9"/>
    <w:rsid w:val="006D2A9F"/>
    <w:rsid w:val="006D5113"/>
    <w:rsid w:val="006E520F"/>
    <w:rsid w:val="006E678B"/>
    <w:rsid w:val="006F00CC"/>
    <w:rsid w:val="006F594E"/>
    <w:rsid w:val="006F7E33"/>
    <w:rsid w:val="00714FEF"/>
    <w:rsid w:val="007170AA"/>
    <w:rsid w:val="007171D0"/>
    <w:rsid w:val="00730589"/>
    <w:rsid w:val="00732B66"/>
    <w:rsid w:val="007406DE"/>
    <w:rsid w:val="00743E79"/>
    <w:rsid w:val="00750554"/>
    <w:rsid w:val="00751C37"/>
    <w:rsid w:val="007757F3"/>
    <w:rsid w:val="00777EAC"/>
    <w:rsid w:val="007815DC"/>
    <w:rsid w:val="00782345"/>
    <w:rsid w:val="00792DBE"/>
    <w:rsid w:val="00793A60"/>
    <w:rsid w:val="007960BC"/>
    <w:rsid w:val="007A47FB"/>
    <w:rsid w:val="007B106B"/>
    <w:rsid w:val="007B275D"/>
    <w:rsid w:val="007E339C"/>
    <w:rsid w:val="007E6AEB"/>
    <w:rsid w:val="007F01EC"/>
    <w:rsid w:val="007F030C"/>
    <w:rsid w:val="007F6A42"/>
    <w:rsid w:val="007F7DF2"/>
    <w:rsid w:val="00803405"/>
    <w:rsid w:val="008079FA"/>
    <w:rsid w:val="0085122B"/>
    <w:rsid w:val="00864902"/>
    <w:rsid w:val="0086555F"/>
    <w:rsid w:val="00880718"/>
    <w:rsid w:val="00882522"/>
    <w:rsid w:val="00890931"/>
    <w:rsid w:val="00896C56"/>
    <w:rsid w:val="008973EE"/>
    <w:rsid w:val="008B0F25"/>
    <w:rsid w:val="008D089D"/>
    <w:rsid w:val="008E0152"/>
    <w:rsid w:val="008F0B04"/>
    <w:rsid w:val="008F6A77"/>
    <w:rsid w:val="008F76A9"/>
    <w:rsid w:val="00904E1B"/>
    <w:rsid w:val="00923EDF"/>
    <w:rsid w:val="00924483"/>
    <w:rsid w:val="00930694"/>
    <w:rsid w:val="009323D0"/>
    <w:rsid w:val="0093521F"/>
    <w:rsid w:val="00945677"/>
    <w:rsid w:val="00946670"/>
    <w:rsid w:val="00962F78"/>
    <w:rsid w:val="0096609F"/>
    <w:rsid w:val="009711D4"/>
    <w:rsid w:val="00971600"/>
    <w:rsid w:val="0097317D"/>
    <w:rsid w:val="00977B3A"/>
    <w:rsid w:val="009973B4"/>
    <w:rsid w:val="009C7777"/>
    <w:rsid w:val="009E30DA"/>
    <w:rsid w:val="009E35C0"/>
    <w:rsid w:val="009F7EED"/>
    <w:rsid w:val="00A04935"/>
    <w:rsid w:val="00A138EC"/>
    <w:rsid w:val="00A456AF"/>
    <w:rsid w:val="00A4606C"/>
    <w:rsid w:val="00A56A93"/>
    <w:rsid w:val="00A62689"/>
    <w:rsid w:val="00A653E2"/>
    <w:rsid w:val="00A712F4"/>
    <w:rsid w:val="00A76D36"/>
    <w:rsid w:val="00A801DE"/>
    <w:rsid w:val="00A90A22"/>
    <w:rsid w:val="00A964A3"/>
    <w:rsid w:val="00AB41FC"/>
    <w:rsid w:val="00AB4BFA"/>
    <w:rsid w:val="00AB7D2F"/>
    <w:rsid w:val="00AC0A90"/>
    <w:rsid w:val="00AC19B4"/>
    <w:rsid w:val="00AD74C7"/>
    <w:rsid w:val="00AE37CA"/>
    <w:rsid w:val="00AF0AAB"/>
    <w:rsid w:val="00AF1D79"/>
    <w:rsid w:val="00AF546C"/>
    <w:rsid w:val="00B0437A"/>
    <w:rsid w:val="00B0685B"/>
    <w:rsid w:val="00B166EA"/>
    <w:rsid w:val="00B411A9"/>
    <w:rsid w:val="00B434A0"/>
    <w:rsid w:val="00B45C2D"/>
    <w:rsid w:val="00B8202D"/>
    <w:rsid w:val="00B822C7"/>
    <w:rsid w:val="00B931E4"/>
    <w:rsid w:val="00B931F5"/>
    <w:rsid w:val="00B94210"/>
    <w:rsid w:val="00B95F69"/>
    <w:rsid w:val="00BA1E88"/>
    <w:rsid w:val="00BA25C0"/>
    <w:rsid w:val="00BC2015"/>
    <w:rsid w:val="00BD6549"/>
    <w:rsid w:val="00BE2A1A"/>
    <w:rsid w:val="00BF04D9"/>
    <w:rsid w:val="00BF4401"/>
    <w:rsid w:val="00BF4EC2"/>
    <w:rsid w:val="00BF597E"/>
    <w:rsid w:val="00C24C9B"/>
    <w:rsid w:val="00C31C73"/>
    <w:rsid w:val="00C51A36"/>
    <w:rsid w:val="00C548BE"/>
    <w:rsid w:val="00C55228"/>
    <w:rsid w:val="00C67A2A"/>
    <w:rsid w:val="00C67E19"/>
    <w:rsid w:val="00C67E47"/>
    <w:rsid w:val="00C71E85"/>
    <w:rsid w:val="00C86F9B"/>
    <w:rsid w:val="00CA1C09"/>
    <w:rsid w:val="00CA690D"/>
    <w:rsid w:val="00CB1E22"/>
    <w:rsid w:val="00CB260B"/>
    <w:rsid w:val="00CC187B"/>
    <w:rsid w:val="00CC2F1B"/>
    <w:rsid w:val="00CC3D9A"/>
    <w:rsid w:val="00CE315A"/>
    <w:rsid w:val="00CE7BE1"/>
    <w:rsid w:val="00CF1726"/>
    <w:rsid w:val="00CF6C5C"/>
    <w:rsid w:val="00CF7E7F"/>
    <w:rsid w:val="00D06F59"/>
    <w:rsid w:val="00D0742D"/>
    <w:rsid w:val="00D21285"/>
    <w:rsid w:val="00D3392D"/>
    <w:rsid w:val="00D36203"/>
    <w:rsid w:val="00D43964"/>
    <w:rsid w:val="00D5397E"/>
    <w:rsid w:val="00D55E69"/>
    <w:rsid w:val="00D562F6"/>
    <w:rsid w:val="00D6418F"/>
    <w:rsid w:val="00D83753"/>
    <w:rsid w:val="00D8388C"/>
    <w:rsid w:val="00D838ED"/>
    <w:rsid w:val="00D91EE4"/>
    <w:rsid w:val="00DA3748"/>
    <w:rsid w:val="00DA7238"/>
    <w:rsid w:val="00DB5EE9"/>
    <w:rsid w:val="00DD15AC"/>
    <w:rsid w:val="00DD690F"/>
    <w:rsid w:val="00DE15C5"/>
    <w:rsid w:val="00DE2645"/>
    <w:rsid w:val="00DE2D80"/>
    <w:rsid w:val="00DE2F81"/>
    <w:rsid w:val="00DE650B"/>
    <w:rsid w:val="00DF11FF"/>
    <w:rsid w:val="00DF72F9"/>
    <w:rsid w:val="00E038E4"/>
    <w:rsid w:val="00E06FC4"/>
    <w:rsid w:val="00E10651"/>
    <w:rsid w:val="00E11153"/>
    <w:rsid w:val="00E14458"/>
    <w:rsid w:val="00E173A4"/>
    <w:rsid w:val="00E43418"/>
    <w:rsid w:val="00E43822"/>
    <w:rsid w:val="00E51D6F"/>
    <w:rsid w:val="00E63714"/>
    <w:rsid w:val="00E64B9B"/>
    <w:rsid w:val="00E65129"/>
    <w:rsid w:val="00E8025C"/>
    <w:rsid w:val="00E95A68"/>
    <w:rsid w:val="00E97424"/>
    <w:rsid w:val="00EA55F7"/>
    <w:rsid w:val="00EA6F97"/>
    <w:rsid w:val="00EB0164"/>
    <w:rsid w:val="00EB0BDD"/>
    <w:rsid w:val="00EC42F5"/>
    <w:rsid w:val="00ED0F62"/>
    <w:rsid w:val="00EE654C"/>
    <w:rsid w:val="00F019E4"/>
    <w:rsid w:val="00F06CFC"/>
    <w:rsid w:val="00F075C4"/>
    <w:rsid w:val="00F1123C"/>
    <w:rsid w:val="00F136ED"/>
    <w:rsid w:val="00F35603"/>
    <w:rsid w:val="00F606E1"/>
    <w:rsid w:val="00F67CBA"/>
    <w:rsid w:val="00F721C7"/>
    <w:rsid w:val="00F83639"/>
    <w:rsid w:val="00F840C3"/>
    <w:rsid w:val="00F94E47"/>
    <w:rsid w:val="00F956F5"/>
    <w:rsid w:val="00FA0833"/>
    <w:rsid w:val="00FA350D"/>
    <w:rsid w:val="00FA4584"/>
    <w:rsid w:val="00FB7752"/>
    <w:rsid w:val="00FC5B50"/>
    <w:rsid w:val="00FC7CBE"/>
    <w:rsid w:val="00FD2869"/>
    <w:rsid w:val="00FD5EE5"/>
    <w:rsid w:val="00FD72A6"/>
    <w:rsid w:val="00FE76F9"/>
    <w:rsid w:val="00FF6091"/>
    <w:rsid w:val="03586C19"/>
    <w:rsid w:val="0FB1318A"/>
    <w:rsid w:val="108219C2"/>
    <w:rsid w:val="17931D42"/>
    <w:rsid w:val="235B322E"/>
    <w:rsid w:val="2ECA48F1"/>
    <w:rsid w:val="310F26D9"/>
    <w:rsid w:val="4AF876C0"/>
    <w:rsid w:val="52835E6C"/>
    <w:rsid w:val="53DA1A29"/>
    <w:rsid w:val="5EA12B9A"/>
    <w:rsid w:val="778D4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464</Words>
  <Characters>2651</Characters>
  <Lines>22</Lines>
  <Paragraphs>6</Paragraphs>
  <TotalTime>0</TotalTime>
  <ScaleCrop>false</ScaleCrop>
  <LinksUpToDate>false</LinksUpToDate>
  <CharactersWithSpaces>3109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2021-10-30T16:35:27Z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8CAEADFBD0BC48FEA6E3B234E75C5E71</vt:lpwstr>
  </property>
</Properties>
</file>