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大庆泓洋机械设备有限公司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0136</w:t>
      </w:r>
      <w:r>
        <w:rPr>
          <w:rFonts w:hint="eastAsia" w:ascii="宋体" w:hAnsi="宋体"/>
          <w:sz w:val="32"/>
          <w:u w:val="single"/>
        </w:rPr>
        <w:t>-2</w:t>
      </w:r>
      <w:r>
        <w:rPr>
          <w:rFonts w:hint="eastAsia" w:ascii="宋体" w:hAnsi="宋体"/>
          <w:sz w:val="32"/>
          <w:u w:val="single"/>
          <w:lang w:val="en-US" w:eastAsia="zh-CN"/>
        </w:rPr>
        <w:t>018</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136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18</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3362" w:type="dxa"/>
            <w:vAlign w:val="center"/>
          </w:tcPr>
          <w:p>
            <w:pPr>
              <w:tabs>
                <w:tab w:val="left" w:pos="880"/>
              </w:tabs>
              <w:autoSpaceDE w:val="0"/>
              <w:autoSpaceDN w:val="0"/>
              <w:adjustRightInd w:val="0"/>
              <w:spacing w:before="35" w:line="276"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hAnsi="宋体" w:eastAsia="宋体"/>
                <w:color w:val="000000"/>
                <w:szCs w:val="21"/>
                <w:lang w:eastAsia="zh-CN"/>
              </w:rPr>
              <w:t>大庆泓洋机械设备有限公司</w:t>
            </w:r>
          </w:p>
        </w:tc>
        <w:tc>
          <w:tcPr>
            <w:tcW w:w="1623"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企业联系人</w:t>
            </w:r>
          </w:p>
        </w:tc>
        <w:tc>
          <w:tcPr>
            <w:tcW w:w="2561" w:type="dxa"/>
            <w:vAlign w:val="center"/>
          </w:tcPr>
          <w:p>
            <w:pPr>
              <w:tabs>
                <w:tab w:val="left" w:pos="880"/>
              </w:tabs>
              <w:autoSpaceDE w:val="0"/>
              <w:autoSpaceDN w:val="0"/>
              <w:adjustRightInd w:val="0"/>
              <w:spacing w:before="35" w:line="360"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eastAsia="宋体" w:cs="宋体"/>
                <w:kern w:val="0"/>
                <w:szCs w:val="21"/>
                <w:lang w:val="en-US" w:eastAsia="zh-CN"/>
              </w:rPr>
              <w:t>勾立峰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shd w:val="clear" w:color="auto" w:fill="auto"/>
                <w:lang w:val="en-US" w:eastAsia="zh-CN"/>
              </w:rPr>
              <w:t>ISC-2018-0321</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3</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09日上午-09</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jc w:val="center"/>
              <w:rPr>
                <w:rFonts w:hint="eastAsia" w:ascii="宋体" w:hAnsi="宋体" w:cs="宋体"/>
                <w:bCs/>
                <w:szCs w:val="21"/>
              </w:rPr>
            </w:pPr>
            <w:r>
              <w:rPr>
                <w:rFonts w:hint="eastAsia" w:ascii="宋体" w:hAnsi="宋体" w:eastAsia="宋体" w:cs="宋体"/>
                <w:bCs/>
                <w:sz w:val="21"/>
                <w:szCs w:val="21"/>
                <w:lang w:val="en-US" w:eastAsia="zh-CN"/>
              </w:rPr>
              <w:t xml:space="preserve"> </w:t>
            </w:r>
            <w:r>
              <w:rPr>
                <w:rFonts w:hint="eastAsia" w:ascii="宋体" w:hAnsi="宋体" w:cs="宋体"/>
                <w:kern w:val="0"/>
                <w:sz w:val="21"/>
                <w:szCs w:val="21"/>
                <w:highlight w:val="none"/>
                <w:shd w:val="clear" w:color="auto" w:fill="auto"/>
                <w:lang w:val="en-US" w:eastAsia="zh-CN"/>
              </w:rPr>
              <w:t>质检部（技术））、安全生产部（生产车间）综合办、销售部</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大庆泓洋机械设备有限公司远程</w:t>
      </w:r>
      <w:bookmarkStart w:id="4" w:name="_GoBack"/>
      <w:bookmarkEnd w:id="4"/>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15</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管理者代表勾立峰任审核组长组织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26</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委托</w:t>
      </w:r>
      <w:r>
        <w:rPr>
          <w:bCs/>
          <w:szCs w:val="21"/>
        </w:rPr>
        <w:t>、</w:t>
      </w:r>
      <w:r>
        <w:rPr>
          <w:szCs w:val="21"/>
        </w:rPr>
        <w:t>管理者代表</w:t>
      </w:r>
      <w:r>
        <w:rPr>
          <w:rFonts w:hint="eastAsia"/>
          <w:szCs w:val="21"/>
          <w:lang w:eastAsia="zh-CN"/>
        </w:rPr>
        <w:t>勾立峰</w:t>
      </w:r>
      <w:r>
        <w:rPr>
          <w:szCs w:val="21"/>
        </w:rPr>
        <w:t>主持</w:t>
      </w:r>
      <w:r>
        <w:rPr>
          <w:rFonts w:hint="eastAsia"/>
          <w:szCs w:val="21"/>
          <w:lang w:eastAsia="zh-CN"/>
        </w:rPr>
        <w:t>，</w:t>
      </w:r>
      <w:r>
        <w:rPr>
          <w:szCs w:val="21"/>
        </w:rPr>
        <w:t>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石油钻采配件、井下工具、测试工具、测井仪器配件;封隔器、配水器、配注器、桥塞、油管锚、接箍、油管短节、筛管、扶正器、抽油机配件、一般试采工具的生产和服务(涉及许可证要求的产品除外)等</w:t>
      </w:r>
      <w:r>
        <w:rPr>
          <w:rFonts w:hint="eastAsia" w:ascii="宋体" w:hAnsi="宋体"/>
          <w:szCs w:val="21"/>
          <w:lang w:eastAsia="zh-CN"/>
        </w:rPr>
        <w:t>。</w:t>
      </w:r>
      <w:r>
        <w:rPr>
          <w:rFonts w:hint="eastAsia"/>
          <w:color w:val="000000"/>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lang w:val="en-US" w:eastAsia="zh-CN"/>
        </w:rPr>
        <w:t>配水器-主体密封槽外径尺寸</w:t>
      </w:r>
      <w:r>
        <w:rPr>
          <w:rFonts w:hint="eastAsia" w:ascii="Times New Roman" w:hAnsi="Times New Roman" w:eastAsia="宋体" w:cs="Times New Roman"/>
          <w:sz w:val="21"/>
          <w:szCs w:val="21"/>
          <w:lang w:val="en-US" w:eastAsia="zh-CN"/>
        </w:rPr>
        <w:t>测量</w:t>
      </w:r>
      <w:r>
        <w:rPr>
          <w:rFonts w:hint="eastAsia" w:ascii="宋体" w:hAnsi="宋体" w:eastAsia="宋体" w:cs="宋体"/>
          <w:snapToGrid w:val="0"/>
          <w:color w:val="000000"/>
          <w:kern w:val="0"/>
          <w:szCs w:val="21"/>
          <w:lang w:eastAsia="zh-CN"/>
        </w:rPr>
        <w:t>等</w:t>
      </w:r>
      <w:r>
        <w:rPr>
          <w:rFonts w:hint="eastAsia" w:ascii="宋体" w:hAnsi="宋体" w:cs="宋体"/>
          <w:kern w:val="0"/>
          <w:szCs w:val="21"/>
          <w:lang w:val="en-US" w:eastAsia="zh-CN"/>
        </w:rPr>
        <w:t>测量过程，未增加新</w:t>
      </w:r>
      <w:r>
        <w:rPr>
          <w:rFonts w:hint="eastAsia" w:ascii="宋体" w:hAnsi="宋体" w:cs="宋体"/>
          <w:bCs/>
          <w:kern w:val="0"/>
          <w:szCs w:val="21"/>
          <w:lang w:eastAsia="zh-CN"/>
        </w:rPr>
        <w:t>测量过程；</w:t>
      </w:r>
      <w:r>
        <w:rPr>
          <w:rFonts w:hint="eastAsia" w:ascii="宋体" w:hAnsi="宋体" w:cs="宋体"/>
          <w:bCs/>
          <w:kern w:val="0"/>
          <w:szCs w:val="21"/>
        </w:rPr>
        <w:t>“</w:t>
      </w:r>
      <w:r>
        <w:rPr>
          <w:rFonts w:hint="eastAsia"/>
          <w:lang w:val="en-US" w:eastAsia="zh-CN"/>
        </w:rPr>
        <w:t>配水器-主体密封槽外径尺寸测量</w:t>
      </w:r>
      <w:r>
        <w:rPr>
          <w:rFonts w:hint="eastAsia" w:ascii="Times New Roman" w:hAnsi="Times New Roman" w:cs="Times New Roman"/>
          <w:bCs/>
          <w:kern w:val="0"/>
          <w:szCs w:val="21"/>
          <w:lang w:eastAsia="zh-CN"/>
        </w:rPr>
        <w:t>”</w:t>
      </w:r>
      <w:r>
        <w:rPr>
          <w:rFonts w:hint="eastAsia" w:ascii="宋体" w:hAnsi="宋体" w:cs="宋体"/>
          <w:bCs/>
          <w:kern w:val="0"/>
          <w:szCs w:val="21"/>
        </w:rPr>
        <w:t>为</w:t>
      </w:r>
      <w:r>
        <w:rPr>
          <w:rFonts w:hint="eastAsia" w:ascii="宋体" w:hAnsi="宋体" w:cs="宋体"/>
          <w:bCs/>
          <w:kern w:val="0"/>
          <w:szCs w:val="21"/>
          <w:lang w:eastAsia="zh-CN"/>
        </w:rPr>
        <w:t>关键</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30</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lang w:val="en-US" w:eastAsia="zh-CN"/>
        </w:rPr>
        <w:t>配水器-主体密封槽外径尺寸测量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加关键</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，查原“</w:t>
      </w:r>
      <w:r>
        <w:rPr>
          <w:rFonts w:hint="eastAsia"/>
          <w:lang w:val="en-US" w:eastAsia="zh-CN"/>
        </w:rPr>
        <w:t>配水器-主体密封槽外径尺寸测</w:t>
      </w:r>
      <w:r>
        <w:rPr>
          <w:rFonts w:hint="eastAsia" w:ascii="宋体" w:hAnsi="宋体" w:eastAsia="宋体" w:cs="宋体"/>
          <w:sz w:val="21"/>
          <w:szCs w:val="21"/>
          <w:lang w:val="en-US" w:eastAsia="zh-CN"/>
        </w:rPr>
        <w:t>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lang w:val="en-US" w:eastAsia="zh-CN"/>
        </w:rPr>
        <w:t>配水器-主体密封槽外径尺寸</w:t>
      </w:r>
      <w:r>
        <w:rPr>
          <w:rFonts w:ascii="Times New Roman" w:hAnsi="Times New Roman" w:cs="Times New Roman"/>
          <w:bCs/>
          <w:kern w:val="0"/>
          <w:sz w:val="21"/>
          <w:szCs w:val="21"/>
        </w:rPr>
        <w:t>测量不确定度评定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lang w:val="en-US" w:eastAsia="zh-CN"/>
        </w:rPr>
        <w:t>配水器-主体密封槽外径尺寸测量</w:t>
      </w:r>
      <w:r>
        <w:rPr>
          <w:rFonts w:hint="eastAsia"/>
        </w:rPr>
        <w:t>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Cs w:val="21"/>
          <w:lang w:val="en-US" w:eastAsia="zh-CN"/>
        </w:rPr>
        <w:t>抽</w:t>
      </w:r>
      <w:r>
        <w:rPr>
          <w:rFonts w:hint="eastAsia" w:ascii="宋体" w:hAnsi="宋体" w:cs="宋体"/>
          <w:color w:val="auto"/>
          <w:kern w:val="0"/>
          <w:szCs w:val="21"/>
          <w:lang w:val="en-US" w:eastAsia="zh-CN"/>
        </w:rPr>
        <w:t>查《下接头检验记录》</w:t>
      </w:r>
      <w:r>
        <w:rPr>
          <w:rFonts w:hint="eastAsia" w:ascii="宋体"/>
          <w:color w:val="auto"/>
          <w:szCs w:val="21"/>
          <w:lang w:eastAsia="zh-CN"/>
        </w:rPr>
        <w:t>，</w:t>
      </w:r>
      <w:r>
        <w:rPr>
          <w:rFonts w:hint="eastAsia" w:ascii="宋体"/>
          <w:color w:val="auto"/>
          <w:szCs w:val="21"/>
          <w:lang w:val="en-US" w:eastAsia="zh-CN"/>
        </w:rPr>
        <w:t>其中检验项目光洁度、螺纹、形位公差的技术要求和检验结果没有描述</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7.2.4</w:t>
      </w:r>
      <w:r>
        <w:rPr>
          <w:rFonts w:hint="eastAsia" w:ascii="宋体" w:hAnsi="宋体" w:cs="宋体"/>
          <w:color w:val="auto"/>
          <w:kern w:val="0"/>
          <w:szCs w:val="21"/>
        </w:rPr>
        <w:t>条款</w:t>
      </w:r>
      <w:r>
        <w:rPr>
          <w:rFonts w:hint="eastAsia" w:ascii="宋体" w:hAnsi="宋体" w:cs="宋体"/>
          <w:color w:val="auto"/>
          <w:kern w:val="0"/>
          <w:szCs w:val="21"/>
          <w:lang w:eastAsia="zh-CN"/>
        </w:rPr>
        <w:t>”</w:t>
      </w:r>
      <w:r>
        <w:rPr>
          <w:rFonts w:hint="eastAsia" w:ascii="宋体"/>
          <w:color w:val="auto"/>
          <w:szCs w:val="21"/>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营业执照未有变更</w:t>
      </w:r>
      <w:r>
        <w:rPr>
          <w:rFonts w:hint="eastAsia" w:ascii="宋体" w:hAnsi="宋体" w:cs="宋体"/>
          <w:bCs/>
          <w:kern w:val="0"/>
          <w:szCs w:val="21"/>
          <w:highlight w:val="none"/>
          <w:lang w:val="en-US" w:eastAsia="zh-CN"/>
        </w:rPr>
        <w:t>，</w:t>
      </w:r>
      <w:r>
        <w:rPr>
          <w:rFonts w:hint="eastAsia" w:ascii="宋体" w:hAnsi="宋体" w:cs="宋体"/>
          <w:b w:val="0"/>
          <w:bCs/>
          <w:kern w:val="0"/>
          <w:szCs w:val="21"/>
          <w:highlight w:val="none"/>
          <w:lang w:val="en-US" w:eastAsia="zh-CN"/>
        </w:rPr>
        <w:t>认证范围没有变化</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大庆油田等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10.1</w:t>
      </w:r>
      <w:r>
        <w:rPr>
          <w:rFonts w:hint="eastAsia" w:ascii="宋体" w:hAnsi="宋体" w:cs="宋体"/>
          <w:kern w:val="0"/>
          <w:szCs w:val="21"/>
          <w:lang w:eastAsia="zh-CN"/>
        </w:rPr>
        <w:t>销售</w:t>
      </w:r>
      <w:r>
        <w:rPr>
          <w:rFonts w:hint="eastAsia" w:ascii="宋体" w:hAnsi="宋体" w:cs="宋体"/>
          <w:kern w:val="0"/>
          <w:szCs w:val="21"/>
        </w:rPr>
        <w:t>部</w:t>
      </w:r>
      <w:r>
        <w:rPr>
          <w:rFonts w:hint="eastAsia" w:ascii="宋体" w:hAnsi="宋体" w:eastAsia="宋体" w:cs="宋体"/>
          <w:kern w:val="0"/>
          <w:sz w:val="21"/>
          <w:szCs w:val="21"/>
          <w:lang w:val="en-US" w:eastAsia="zh-CN" w:bidi="ar-SA"/>
        </w:rPr>
        <w:t>未能提供2021年外部客户满意度调查问卷。不符合GB/T19022-2003标准中 8</w:t>
      </w:r>
      <w:r>
        <w:rPr>
          <w:rFonts w:hint="eastAsia" w:ascii="宋体" w:hAnsi="宋体" w:cs="宋体"/>
          <w:kern w:val="0"/>
          <w:szCs w:val="21"/>
          <w:highlight w:val="none"/>
          <w:lang w:val="en-US" w:eastAsia="zh-CN"/>
        </w:rPr>
        <w:t>.2.2条款顾客满意的要求的要求。属于次要不符合项。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2021年1月至10月，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12.47</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09上午-11月09日下午</w:t>
      </w:r>
      <w:r>
        <w:rPr>
          <w:rFonts w:hint="eastAsia" w:ascii="宋体" w:hAnsi="宋体" w:cs="宋体"/>
          <w:bCs/>
          <w:color w:val="auto"/>
          <w:kern w:val="0"/>
          <w:szCs w:val="21"/>
        </w:rPr>
        <w:t>，对</w:t>
      </w:r>
      <w:r>
        <w:rPr>
          <w:rFonts w:hint="eastAsia" w:ascii="宋体" w:hAnsi="宋体"/>
          <w:color w:val="auto"/>
          <w:szCs w:val="21"/>
          <w:lang w:eastAsia="zh-CN"/>
        </w:rPr>
        <w:t>大庆泓洋机械设备有限公司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大庆泓洋机械设备有限公司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2021.11.09</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3374A5F"/>
    <w:rsid w:val="049D6929"/>
    <w:rsid w:val="07A22038"/>
    <w:rsid w:val="07F6331D"/>
    <w:rsid w:val="081433FF"/>
    <w:rsid w:val="0866484A"/>
    <w:rsid w:val="08AF38B7"/>
    <w:rsid w:val="08C9577B"/>
    <w:rsid w:val="0CC1767E"/>
    <w:rsid w:val="0DE1402D"/>
    <w:rsid w:val="1051458B"/>
    <w:rsid w:val="10FC7F7C"/>
    <w:rsid w:val="145913C3"/>
    <w:rsid w:val="18895737"/>
    <w:rsid w:val="1ACA15A5"/>
    <w:rsid w:val="1D644926"/>
    <w:rsid w:val="1E0679E2"/>
    <w:rsid w:val="20245D89"/>
    <w:rsid w:val="21C517C9"/>
    <w:rsid w:val="2253747B"/>
    <w:rsid w:val="228F589D"/>
    <w:rsid w:val="22A73156"/>
    <w:rsid w:val="238D590A"/>
    <w:rsid w:val="23E3439E"/>
    <w:rsid w:val="259C7022"/>
    <w:rsid w:val="25FE255B"/>
    <w:rsid w:val="261769C3"/>
    <w:rsid w:val="27816C16"/>
    <w:rsid w:val="27954974"/>
    <w:rsid w:val="299E6A98"/>
    <w:rsid w:val="2B030917"/>
    <w:rsid w:val="2C4F0E75"/>
    <w:rsid w:val="2E9535C2"/>
    <w:rsid w:val="2F3769D8"/>
    <w:rsid w:val="2F98679A"/>
    <w:rsid w:val="313D2294"/>
    <w:rsid w:val="31647056"/>
    <w:rsid w:val="321A44F5"/>
    <w:rsid w:val="328D7A02"/>
    <w:rsid w:val="32A1519D"/>
    <w:rsid w:val="33A85929"/>
    <w:rsid w:val="33E861D3"/>
    <w:rsid w:val="34A46DF0"/>
    <w:rsid w:val="356A4FB1"/>
    <w:rsid w:val="363F5E2D"/>
    <w:rsid w:val="36BD22BD"/>
    <w:rsid w:val="378D388E"/>
    <w:rsid w:val="3868400B"/>
    <w:rsid w:val="38880CD0"/>
    <w:rsid w:val="39571FC5"/>
    <w:rsid w:val="39EA584B"/>
    <w:rsid w:val="3F903830"/>
    <w:rsid w:val="408706D3"/>
    <w:rsid w:val="44C42B5F"/>
    <w:rsid w:val="49F92A91"/>
    <w:rsid w:val="4A126716"/>
    <w:rsid w:val="4ABD7835"/>
    <w:rsid w:val="4BB943B0"/>
    <w:rsid w:val="4BD16FB0"/>
    <w:rsid w:val="505F1232"/>
    <w:rsid w:val="50FA73B2"/>
    <w:rsid w:val="52977792"/>
    <w:rsid w:val="52D06ACC"/>
    <w:rsid w:val="53E204EF"/>
    <w:rsid w:val="53FD699A"/>
    <w:rsid w:val="548C10AE"/>
    <w:rsid w:val="553819D4"/>
    <w:rsid w:val="55846126"/>
    <w:rsid w:val="56A52AE7"/>
    <w:rsid w:val="56AF49FF"/>
    <w:rsid w:val="57961E25"/>
    <w:rsid w:val="57EE0A87"/>
    <w:rsid w:val="583773EE"/>
    <w:rsid w:val="58FA7A57"/>
    <w:rsid w:val="5ACA30F8"/>
    <w:rsid w:val="5AD7341B"/>
    <w:rsid w:val="5B4471AA"/>
    <w:rsid w:val="5BED2E50"/>
    <w:rsid w:val="5D8B40D4"/>
    <w:rsid w:val="5E541A14"/>
    <w:rsid w:val="60EE17B6"/>
    <w:rsid w:val="60FF6850"/>
    <w:rsid w:val="61204131"/>
    <w:rsid w:val="612E2E61"/>
    <w:rsid w:val="61880FEB"/>
    <w:rsid w:val="63244996"/>
    <w:rsid w:val="64882719"/>
    <w:rsid w:val="653A413B"/>
    <w:rsid w:val="65B354C1"/>
    <w:rsid w:val="66B707C5"/>
    <w:rsid w:val="66C76995"/>
    <w:rsid w:val="66DA4EE7"/>
    <w:rsid w:val="678058D7"/>
    <w:rsid w:val="69443018"/>
    <w:rsid w:val="695375A4"/>
    <w:rsid w:val="69DD4616"/>
    <w:rsid w:val="6A3749C6"/>
    <w:rsid w:val="6BC61023"/>
    <w:rsid w:val="6CD356B6"/>
    <w:rsid w:val="6DB43658"/>
    <w:rsid w:val="6E407BC1"/>
    <w:rsid w:val="6E4A2C41"/>
    <w:rsid w:val="6F03617D"/>
    <w:rsid w:val="6FCB3BEE"/>
    <w:rsid w:val="70F168D6"/>
    <w:rsid w:val="71A75E13"/>
    <w:rsid w:val="72FF0D20"/>
    <w:rsid w:val="756C46F1"/>
    <w:rsid w:val="75C30245"/>
    <w:rsid w:val="79880B95"/>
    <w:rsid w:val="7E0A279A"/>
    <w:rsid w:val="7ED83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2021-11-14T05:06:39Z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26855577654D4779AED556AE7C30A6C9</vt:lpwstr>
  </property>
</Properties>
</file>