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供</w:t>
            </w:r>
            <w:r>
              <w:rPr>
                <w:rFonts w:hint="eastAsia"/>
                <w:sz w:val="24"/>
                <w:szCs w:val="24"/>
              </w:rPr>
              <w:t xml:space="preserve">销部 </w:t>
            </w:r>
            <w:r>
              <w:rPr>
                <w:sz w:val="24"/>
                <w:szCs w:val="24"/>
              </w:rPr>
              <w:t xml:space="preserve">  </w:t>
            </w:r>
            <w:r>
              <w:rPr>
                <w:rFonts w:hint="eastAsia"/>
                <w:sz w:val="24"/>
                <w:szCs w:val="24"/>
              </w:rPr>
              <w:t xml:space="preserve">主管领导：赵宝红 </w:t>
            </w:r>
            <w:r>
              <w:rPr>
                <w:sz w:val="24"/>
                <w:szCs w:val="24"/>
              </w:rPr>
              <w:t xml:space="preserve">  </w:t>
            </w:r>
            <w:r>
              <w:rPr>
                <w:rFonts w:hint="eastAsia"/>
                <w:sz w:val="24"/>
                <w:szCs w:val="24"/>
              </w:rPr>
              <w:t>陪同人员：陈成</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审核员：林兵、</w:t>
            </w:r>
            <w:r>
              <w:rPr>
                <w:rFonts w:hint="eastAsia"/>
                <w:sz w:val="24"/>
                <w:szCs w:val="24"/>
                <w:lang w:val="en-US" w:eastAsia="zh-CN"/>
              </w:rPr>
              <w:t>王献华</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2021年10月29日~10月31日上午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spacing w:line="280" w:lineRule="exact"/>
              <w:rPr>
                <w:rFonts w:hint="eastAsia" w:ascii="宋体" w:hAnsi="宋体" w:cs="Arial"/>
                <w:sz w:val="18"/>
                <w:szCs w:val="18"/>
              </w:rPr>
            </w:pPr>
            <w:r>
              <w:rPr>
                <w:rFonts w:hint="eastAsia"/>
                <w:sz w:val="24"/>
                <w:szCs w:val="24"/>
              </w:rPr>
              <w:t>审核条款：</w:t>
            </w:r>
            <w:r>
              <w:rPr>
                <w:rFonts w:hint="eastAsia" w:ascii="宋体" w:hAnsi="宋体" w:cs="Arial"/>
                <w:sz w:val="18"/>
                <w:szCs w:val="18"/>
              </w:rPr>
              <w:t>Q: 5.3组织的岗位、职责和权限、6.2质量目标、8.2 产品和服务的要求</w:t>
            </w:r>
            <w:r>
              <w:rPr>
                <w:rFonts w:hint="eastAsia" w:ascii="宋体" w:hAnsi="宋体" w:cs="Arial"/>
                <w:sz w:val="18"/>
                <w:szCs w:val="18"/>
                <w:lang w:eastAsia="zh-CN"/>
              </w:rPr>
              <w:t>、</w:t>
            </w:r>
            <w:r>
              <w:rPr>
                <w:rFonts w:hint="eastAsia" w:ascii="宋体" w:hAnsi="宋体" w:cs="Arial"/>
                <w:sz w:val="18"/>
                <w:szCs w:val="18"/>
              </w:rPr>
              <w:t>8.4 外部提供过程、产品和服务的控制</w:t>
            </w:r>
            <w:r>
              <w:rPr>
                <w:rFonts w:hint="eastAsia" w:ascii="宋体" w:hAnsi="宋体" w:cs="Arial"/>
                <w:sz w:val="18"/>
                <w:szCs w:val="18"/>
                <w:lang w:eastAsia="zh-CN"/>
              </w:rPr>
              <w:t>、</w:t>
            </w:r>
            <w:r>
              <w:rPr>
                <w:rFonts w:hint="eastAsia" w:ascii="宋体" w:hAnsi="宋体" w:cs="Arial"/>
                <w:sz w:val="18"/>
                <w:szCs w:val="18"/>
              </w:rPr>
              <w:t>9.1.2 顾客满意</w:t>
            </w:r>
          </w:p>
          <w:p>
            <w:pPr>
              <w:rPr>
                <w:sz w:val="24"/>
                <w:szCs w:val="24"/>
              </w:rPr>
            </w:pPr>
            <w:r>
              <w:rPr>
                <w:rFonts w:hint="eastAsia" w:ascii="宋体" w:hAnsi="宋体" w:cs="Arial"/>
                <w:sz w:val="18"/>
                <w:szCs w:val="18"/>
                <w:lang w:val="en-US" w:eastAsia="zh-CN"/>
              </w:rPr>
              <w:t>E:</w:t>
            </w:r>
            <w:r>
              <w:rPr>
                <w:rFonts w:hint="eastAsia" w:ascii="宋体" w:hAnsi="宋体" w:cs="Arial"/>
                <w:sz w:val="18"/>
                <w:szCs w:val="18"/>
              </w:rPr>
              <w:t>5.3组织的岗位、职责和权限、6.2环境目标、6.1.2环境因素辨识与评价、8.1运行策划和控制、8.2应急准备和响应，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QE5.3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供销部</w:t>
            </w:r>
            <w:r>
              <w:rPr>
                <w:rFonts w:hint="eastAsia" w:ascii="宋体" w:hAnsi="宋体" w:cs="宋体"/>
                <w:szCs w:val="21"/>
              </w:rPr>
              <w:t>按照公司领导要求，做好公司职能和岗位的具体确定，对从事</w:t>
            </w:r>
            <w:r>
              <w:rPr>
                <w:rFonts w:hint="eastAsia" w:ascii="宋体" w:hAnsi="宋体" w:cs="宋体"/>
                <w:szCs w:val="21"/>
                <w:lang w:val="en-US" w:eastAsia="zh-CN"/>
              </w:rPr>
              <w:t>公司采购和</w:t>
            </w:r>
            <w:r>
              <w:rPr>
                <w:rFonts w:hint="eastAsia" w:ascii="宋体" w:hAnsi="宋体" w:cs="宋体"/>
                <w:szCs w:val="21"/>
              </w:rPr>
              <w:t>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lang w:val="en-US" w:eastAsia="zh-CN"/>
              </w:rPr>
              <w:t>部门</w:t>
            </w:r>
            <w:r>
              <w:rPr>
                <w:rFonts w:hint="eastAsia" w:ascii="宋体" w:hAnsi="宋体" w:cs="宋体"/>
                <w:szCs w:val="21"/>
              </w:rPr>
              <w:t>负责人：</w:t>
            </w:r>
            <w:r>
              <w:rPr>
                <w:rFonts w:hint="eastAsia" w:ascii="宋体" w:hAnsi="宋体" w:cs="宋体"/>
                <w:szCs w:val="21"/>
                <w:lang w:val="en-US" w:eastAsia="zh-CN"/>
              </w:rPr>
              <w:t>章振环</w:t>
            </w:r>
            <w:r>
              <w:rPr>
                <w:rFonts w:hint="eastAsia" w:ascii="宋体" w:hAnsi="宋体" w:cs="宋体"/>
                <w:szCs w:val="21"/>
              </w:rPr>
              <w:t>。在手册中确定了</w:t>
            </w:r>
            <w:r>
              <w:rPr>
                <w:rFonts w:hint="eastAsia" w:ascii="宋体" w:hAnsi="宋体" w:cs="宋体"/>
                <w:szCs w:val="21"/>
                <w:lang w:eastAsia="zh-CN"/>
              </w:rPr>
              <w:t>供销部</w:t>
            </w:r>
            <w:r>
              <w:rPr>
                <w:rFonts w:hint="eastAsia" w:ascii="宋体" w:hAnsi="宋体" w:cs="宋体"/>
                <w:szCs w:val="21"/>
              </w:rPr>
              <w:t>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供销部</w:t>
            </w:r>
            <w:r>
              <w:rPr>
                <w:rFonts w:hint="eastAsia" w:ascii="宋体" w:hAnsi="宋体" w:cs="宋体"/>
                <w:szCs w:val="21"/>
              </w:rPr>
              <w:t>人员，基本清楚本部门职责。</w:t>
            </w:r>
          </w:p>
          <w:p>
            <w:pPr>
              <w:spacing w:line="280" w:lineRule="exact"/>
              <w:ind w:firstLine="420" w:firstLineChars="200"/>
              <w:rPr>
                <w:rFonts w:ascii="宋体" w:hAnsi="宋体" w:cs="宋体"/>
                <w:szCs w:val="21"/>
              </w:rPr>
            </w:pPr>
            <w:r>
              <w:rPr>
                <w:rFonts w:hint="eastAsia" w:ascii="宋体" w:hAnsi="宋体" w:cs="宋体"/>
                <w:szCs w:val="21"/>
              </w:rPr>
              <w:t>现有上述管理人员配置满足要求，配有与工作相关的电脑、打/复印机、传真机等设施。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p>
        </w:tc>
        <w:tc>
          <w:tcPr>
            <w:tcW w:w="10004" w:type="dxa"/>
            <w:vAlign w:val="center"/>
          </w:tcPr>
          <w:p>
            <w:pPr>
              <w:spacing w:line="280" w:lineRule="exact"/>
              <w:ind w:firstLine="420" w:firstLineChars="200"/>
              <w:rPr>
                <w:szCs w:val="21"/>
              </w:rPr>
            </w:pPr>
            <w:r>
              <w:rPr>
                <w:rFonts w:hint="eastAsia"/>
                <w:szCs w:val="21"/>
              </w:rPr>
              <w:t>提供《环境因素识别与评价管理程序》用以指导进行环境因素的识别、登记评价，以确定重要环境因素以及对环境因素的定期更新，环境因素的识别和确定考虑生命周期观点。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清单”，识别的环境因素标明时态、状态和对环境的影响；经查阅识别出对在办公活动中产生的纸张等消耗、固废排放、生活废水排放、触电、火灾等环境因素及考虑到环境管理体系发生变更时可能产生的环境因素。</w:t>
            </w:r>
          </w:p>
          <w:p>
            <w:pPr>
              <w:spacing w:line="280" w:lineRule="exact"/>
              <w:ind w:firstLine="420" w:firstLineChars="200"/>
              <w:rPr>
                <w:rFonts w:hint="eastAsia"/>
                <w:szCs w:val="21"/>
              </w:rPr>
            </w:pPr>
            <w:r>
              <w:rPr>
                <w:rFonts w:hint="eastAsia"/>
                <w:szCs w:val="21"/>
              </w:rPr>
              <w:t>重要环境因素采用经验/直接判断法，由各部门有管理经验的人员共同讨论、采用直接判断的方法确定重要环境因素，提供了“重要环境因素清单”：本部门的重要环境因素：</w:t>
            </w:r>
            <w:r>
              <w:rPr>
                <w:rFonts w:hint="eastAsia" w:ascii="宋体" w:hAnsi="宋体" w:cs="宋体"/>
                <w:szCs w:val="21"/>
              </w:rPr>
              <w:t>噪声排放、固废的废弃、废水排放、废弃排放、火灾发生、潜在火灾、水、电、原材料等消耗</w:t>
            </w:r>
            <w:r>
              <w:rPr>
                <w:rFonts w:hint="eastAsia"/>
                <w:szCs w:val="21"/>
              </w:rPr>
              <w:t>；提供了针对重要环境因素，编的环境目标、指标及管理方案，内容包括：目标、指标、方法及措施、完成日期、资金预算等。</w:t>
            </w:r>
          </w:p>
          <w:p>
            <w:pPr>
              <w:spacing w:line="280" w:lineRule="exact"/>
              <w:ind w:firstLine="420" w:firstLineChars="200"/>
              <w:rPr>
                <w:rFonts w:hint="default" w:eastAsia="宋体"/>
                <w:lang w:val="en-US" w:eastAsia="zh-CN"/>
              </w:rPr>
            </w:pPr>
            <w:r>
              <w:rPr>
                <w:rFonts w:hint="eastAsia"/>
                <w:lang w:val="en-US" w:eastAsia="zh-CN"/>
              </w:rPr>
              <w:t>环境因素影响：识别采购的产品与供应商明确环境影响风险及告知，销售产品告知产品产品全生命周期的环境风险等。</w:t>
            </w:r>
          </w:p>
          <w:p>
            <w:pPr>
              <w:spacing w:line="280" w:lineRule="exact"/>
              <w:ind w:firstLine="420" w:firstLineChars="200"/>
              <w:rPr>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440" w:lineRule="exact"/>
              <w:jc w:val="left"/>
              <w:rPr>
                <w:rFonts w:hint="eastAsia"/>
                <w:sz w:val="24"/>
                <w:szCs w:val="24"/>
              </w:rPr>
            </w:pPr>
            <w:r>
              <w:rPr>
                <w:rFonts w:hint="eastAsia"/>
                <w:sz w:val="24"/>
                <w:szCs w:val="24"/>
              </w:rPr>
              <w:t>措施的策划</w:t>
            </w:r>
          </w:p>
        </w:tc>
        <w:tc>
          <w:tcPr>
            <w:tcW w:w="998" w:type="dxa"/>
          </w:tcPr>
          <w:p>
            <w:pPr>
              <w:spacing w:line="280" w:lineRule="exact"/>
              <w:rPr>
                <w:rFonts w:hint="eastAsia"/>
                <w:szCs w:val="21"/>
              </w:rPr>
            </w:pPr>
            <w:r>
              <w:rPr>
                <w:rFonts w:hint="eastAsia"/>
                <w:szCs w:val="21"/>
              </w:rPr>
              <w:t>E6.1.4</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kern w:val="0"/>
                <w:szCs w:val="21"/>
              </w:rPr>
              <w:t>在制定环境目标指标时，</w:t>
            </w:r>
            <w:r>
              <w:rPr>
                <w:rFonts w:hint="eastAsia" w:ascii="宋体" w:hAnsi="宋体" w:cs="宋体"/>
                <w:kern w:val="0"/>
                <w:szCs w:val="21"/>
                <w:lang w:val="en-US" w:eastAsia="zh-CN"/>
              </w:rPr>
              <w:t>总经办</w:t>
            </w:r>
            <w:r>
              <w:rPr>
                <w:rFonts w:hint="eastAsia" w:ascii="宋体" w:hAnsi="宋体" w:cs="宋体"/>
                <w:szCs w:val="21"/>
              </w:rPr>
              <w:t>负责制定环境目标及管理方案，总经理</w:t>
            </w:r>
            <w:r>
              <w:rPr>
                <w:rFonts w:hint="eastAsia" w:ascii="宋体" w:hAnsi="宋体" w:cs="宋体"/>
                <w:szCs w:val="21"/>
                <w:lang w:val="en-US" w:eastAsia="zh-CN"/>
              </w:rPr>
              <w:t>杨利刚</w:t>
            </w:r>
            <w:r>
              <w:rPr>
                <w:rFonts w:hint="eastAsia" w:ascii="宋体" w:hAnsi="宋体" w:cs="宋体"/>
                <w:szCs w:val="21"/>
              </w:rPr>
              <w:t>负责批准。环境管理方案中明确为实现环境目标和指标的责任部门；规定实现环境目标和指标的时间；具体措施和经费预算；都由总经理批准。环境管理方案的实施，</w:t>
            </w:r>
            <w:r>
              <w:rPr>
                <w:rFonts w:hint="eastAsia" w:ascii="宋体" w:hAnsi="宋体" w:cs="宋体"/>
                <w:szCs w:val="21"/>
                <w:lang w:eastAsia="zh-CN"/>
              </w:rPr>
              <w:t>总经办</w:t>
            </w:r>
            <w:r>
              <w:rPr>
                <w:rFonts w:hint="eastAsia" w:ascii="宋体" w:hAnsi="宋体" w:cs="宋体"/>
                <w:szCs w:val="21"/>
              </w:rPr>
              <w:t>每半年对方案实施情况进行检查跟踪，向总经理报告；一般在管理评审之前对环境目标及管理方案由</w:t>
            </w:r>
            <w:r>
              <w:rPr>
                <w:rFonts w:hint="eastAsia" w:ascii="宋体" w:hAnsi="宋体" w:cs="宋体"/>
                <w:szCs w:val="21"/>
                <w:lang w:eastAsia="zh-CN"/>
              </w:rPr>
              <w:t>总经办</w:t>
            </w:r>
            <w:r>
              <w:rPr>
                <w:rFonts w:hint="eastAsia" w:ascii="宋体" w:hAnsi="宋体" w:cs="宋体"/>
                <w:szCs w:val="21"/>
              </w:rPr>
              <w:t>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Q6.2</w:t>
            </w:r>
          </w:p>
          <w:p>
            <w:pPr>
              <w:spacing w:line="280" w:lineRule="exact"/>
              <w:rPr>
                <w:szCs w:val="21"/>
              </w:rPr>
            </w:pPr>
            <w:r>
              <w:rPr>
                <w:rFonts w:hint="eastAsia"/>
                <w:szCs w:val="21"/>
              </w:rPr>
              <w:t>E6.2.1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ind w:firstLine="420" w:firstLineChars="200"/>
              <w:rPr>
                <w:rFonts w:ascii="宋体" w:hAnsi="宋体" w:cs="宋体"/>
                <w:szCs w:val="21"/>
              </w:rPr>
            </w:pPr>
            <w:r>
              <w:rPr>
                <w:rFonts w:hint="eastAsia" w:ascii="宋体" w:hAnsi="宋体" w:cs="宋体"/>
                <w:szCs w:val="21"/>
                <w:lang w:eastAsia="zh-CN"/>
              </w:rPr>
              <w:t>供销部</w:t>
            </w:r>
            <w:r>
              <w:rPr>
                <w:rFonts w:hint="eastAsia" w:ascii="宋体" w:hAnsi="宋体" w:cs="宋体"/>
                <w:szCs w:val="21"/>
              </w:rPr>
              <w:t>涉及的目标</w:t>
            </w:r>
            <w:r>
              <w:rPr>
                <w:rFonts w:hint="eastAsia" w:ascii="宋体" w:hAnsi="宋体" w:cs="宋体"/>
                <w:szCs w:val="21"/>
                <w:lang w:val="en-US" w:eastAsia="zh-CN"/>
              </w:rPr>
              <w:t>分解</w:t>
            </w:r>
            <w:r>
              <w:rPr>
                <w:rFonts w:hint="eastAsia" w:ascii="宋体" w:hAnsi="宋体" w:cs="宋体"/>
                <w:szCs w:val="21"/>
              </w:rPr>
              <w:t>及实现情况是：</w:t>
            </w:r>
          </w:p>
          <w:p>
            <w:pPr>
              <w:rPr>
                <w:rFonts w:hint="eastAsia" w:ascii="宋体" w:hAnsi="宋体" w:eastAsia="宋体" w:cs="宋体"/>
                <w:szCs w:val="21"/>
                <w:lang w:eastAsia="zh-CN"/>
              </w:rPr>
            </w:pPr>
            <w:r>
              <w:rPr>
                <w:rFonts w:hint="eastAsia" w:ascii="宋体" w:hAnsi="宋体" w:eastAsia="宋体" w:cs="宋体"/>
                <w:szCs w:val="21"/>
                <w:lang w:eastAsia="zh-CN"/>
              </w:rPr>
              <w:drawing>
                <wp:inline distT="0" distB="0" distL="114300" distR="114300">
                  <wp:extent cx="6280150" cy="1942465"/>
                  <wp:effectExtent l="0" t="0" r="13970" b="8255"/>
                  <wp:docPr id="4" name="图片 4" descr="微信截图_2021102909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11029093913"/>
                          <pic:cNvPicPr>
                            <a:picLocks noChangeAspect="1"/>
                          </pic:cNvPicPr>
                        </pic:nvPicPr>
                        <pic:blipFill>
                          <a:blip r:embed="rId6"/>
                          <a:stretch>
                            <a:fillRect/>
                          </a:stretch>
                        </pic:blipFill>
                        <pic:spPr>
                          <a:xfrm>
                            <a:off x="0" y="0"/>
                            <a:ext cx="6280150" cy="1942465"/>
                          </a:xfrm>
                          <a:prstGeom prst="rect">
                            <a:avLst/>
                          </a:prstGeom>
                        </pic:spPr>
                      </pic:pic>
                    </a:graphicData>
                  </a:graphic>
                </wp:inline>
              </w:drawing>
            </w:r>
          </w:p>
          <w:p>
            <w:pPr>
              <w:ind w:firstLine="420" w:firstLineChars="200"/>
              <w:rPr>
                <w:rFonts w:ascii="宋体" w:hAnsi="宋体" w:cs="宋体"/>
                <w:szCs w:val="21"/>
              </w:rPr>
            </w:pPr>
            <w:r>
              <w:rPr>
                <w:rFonts w:hint="eastAsia" w:ascii="宋体" w:hAnsi="宋体" w:cs="宋体"/>
                <w:szCs w:val="21"/>
              </w:rPr>
              <w:t>目标可测量，与公司管理方针一致。有实施落实的方案， 根据</w:t>
            </w:r>
            <w:r>
              <w:rPr>
                <w:rFonts w:ascii="宋体" w:hAnsi="宋体" w:cs="宋体"/>
                <w:szCs w:val="21"/>
              </w:rPr>
              <w:t>1</w:t>
            </w:r>
            <w:r>
              <w:rPr>
                <w:rFonts w:hint="eastAsia" w:ascii="宋体" w:hAnsi="宋体" w:cs="宋体"/>
                <w:szCs w:val="21"/>
              </w:rPr>
              <w:t>月</w:t>
            </w:r>
            <w:r>
              <w:rPr>
                <w:rFonts w:ascii="宋体" w:hAnsi="宋体" w:cs="宋体"/>
                <w:szCs w:val="21"/>
              </w:rPr>
              <w:t>6</w:t>
            </w:r>
            <w:r>
              <w:rPr>
                <w:rFonts w:hint="eastAsia" w:ascii="宋体" w:hAnsi="宋体" w:cs="宋体"/>
                <w:szCs w:val="21"/>
              </w:rPr>
              <w:t>日统计结果，目标</w:t>
            </w:r>
            <w:r>
              <w:rPr>
                <w:rFonts w:hint="eastAsia" w:ascii="宋体" w:hAnsi="宋体" w:cs="宋体"/>
                <w:szCs w:val="21"/>
                <w:lang w:val="en-US" w:eastAsia="zh-CN"/>
              </w:rPr>
              <w:t>大部分</w:t>
            </w:r>
            <w:r>
              <w:rPr>
                <w:rFonts w:hint="eastAsia" w:ascii="宋体" w:hAnsi="宋体" w:cs="宋体"/>
                <w:szCs w:val="21"/>
              </w:rPr>
              <w:t>已完成</w:t>
            </w:r>
            <w:r>
              <w:rPr>
                <w:rFonts w:hint="eastAsia" w:ascii="宋体" w:hAnsi="宋体" w:cs="宋体"/>
                <w:szCs w:val="21"/>
                <w:lang w:eastAsia="zh-CN"/>
              </w:rPr>
              <w:t>，</w:t>
            </w:r>
            <w:r>
              <w:rPr>
                <w:rFonts w:hint="eastAsia" w:ascii="宋体" w:hAnsi="宋体" w:cs="宋体"/>
                <w:szCs w:val="21"/>
                <w:lang w:val="en-US" w:eastAsia="zh-CN"/>
              </w:rPr>
              <w:t>物资采购及时率未完成，经寻问，因上半年原料价格不稳定影响采购及时性问题</w:t>
            </w:r>
            <w:r>
              <w:rPr>
                <w:rFonts w:hint="eastAsia" w:ascii="宋体"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6.2.2</w:t>
            </w:r>
          </w:p>
        </w:tc>
        <w:tc>
          <w:tcPr>
            <w:tcW w:w="10004" w:type="dxa"/>
            <w:vAlign w:val="center"/>
          </w:tcPr>
          <w:p>
            <w:pPr>
              <w:ind w:firstLine="420" w:firstLineChars="200"/>
              <w:rPr>
                <w:rFonts w:ascii="宋体" w:hAnsi="宋体" w:cs="宋体"/>
                <w:szCs w:val="21"/>
              </w:rPr>
            </w:pPr>
            <w:r>
              <w:rPr>
                <w:rFonts w:hint="eastAsia"/>
                <w:szCs w:val="21"/>
              </w:rPr>
              <w:t>按</w:t>
            </w:r>
            <w:r>
              <w:rPr>
                <w:rFonts w:hint="eastAsia" w:ascii="宋体" w:hAnsi="宋体" w:cs="宋体"/>
                <w:szCs w:val="21"/>
              </w:rPr>
              <w:t>《环境因素识别和评价管理程序》</w:t>
            </w:r>
            <w:r>
              <w:rPr>
                <w:rFonts w:hint="eastAsia"/>
                <w:szCs w:val="21"/>
              </w:rPr>
              <w:t>识别的重要环境因素制定管理措施，制定</w:t>
            </w:r>
            <w:r>
              <w:rPr>
                <w:rFonts w:hint="eastAsia" w:ascii="宋体" w:hAnsi="宋体" w:cs="宋体"/>
                <w:szCs w:val="21"/>
              </w:rPr>
              <w:t>《对相关方施加影响管理程序》等文件；由</w:t>
            </w:r>
            <w:r>
              <w:rPr>
                <w:rFonts w:hint="eastAsia" w:ascii="宋体" w:hAnsi="宋体" w:cs="宋体"/>
                <w:szCs w:val="21"/>
                <w:lang w:eastAsia="zh-CN"/>
              </w:rPr>
              <w:t>总经办</w:t>
            </w:r>
            <w:r>
              <w:rPr>
                <w:rFonts w:hint="eastAsia" w:ascii="宋体" w:hAnsi="宋体" w:cs="宋体"/>
                <w:szCs w:val="21"/>
              </w:rPr>
              <w:t>统一管理。基本不涉及重大法规要求的不可接受的环境风险。未制定针对性的管理措施和方案。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E8.1</w:t>
            </w:r>
          </w:p>
        </w:tc>
        <w:tc>
          <w:tcPr>
            <w:tcW w:w="10004" w:type="dxa"/>
            <w:vAlign w:val="center"/>
          </w:tcPr>
          <w:p>
            <w:pPr>
              <w:spacing w:line="280" w:lineRule="exact"/>
              <w:ind w:firstLine="420" w:firstLineChars="200"/>
              <w:rPr>
                <w:szCs w:val="21"/>
              </w:rPr>
            </w:pPr>
            <w:r>
              <w:rPr>
                <w:rFonts w:hint="eastAsia"/>
                <w:szCs w:val="21"/>
              </w:rPr>
              <w:t>编制与环境、安全管理体系运行控制有关的文件有《环境因素识别与评价管理程序》</w:t>
            </w:r>
            <w:r>
              <w:rPr>
                <w:rFonts w:hint="eastAsia"/>
                <w:szCs w:val="21"/>
                <w:lang w:eastAsia="zh-CN"/>
              </w:rPr>
              <w:t>、</w:t>
            </w:r>
            <w:r>
              <w:rPr>
                <w:rFonts w:hint="eastAsia"/>
                <w:szCs w:val="21"/>
              </w:rPr>
              <w:t>《对相关方施加影响管理程序》等。</w:t>
            </w:r>
          </w:p>
          <w:p>
            <w:pPr>
              <w:spacing w:line="280" w:lineRule="exact"/>
              <w:ind w:firstLine="420" w:firstLineChars="200"/>
              <w:rPr>
                <w:rFonts w:hint="default" w:eastAsia="宋体"/>
                <w:szCs w:val="21"/>
                <w:lang w:val="en-US" w:eastAsia="zh-CN"/>
              </w:rPr>
            </w:pPr>
            <w:r>
              <w:rPr>
                <w:rFonts w:hint="eastAsia"/>
                <w:szCs w:val="21"/>
              </w:rPr>
              <w:t>1、</w:t>
            </w:r>
            <w:r>
              <w:rPr>
                <w:rFonts w:hint="eastAsia"/>
                <w:szCs w:val="21"/>
                <w:lang w:val="en-US" w:eastAsia="zh-CN"/>
              </w:rPr>
              <w:t>供应商及客户单位告知内容</w:t>
            </w:r>
          </w:p>
          <w:p>
            <w:pPr>
              <w:spacing w:line="280" w:lineRule="exact"/>
              <w:ind w:firstLine="420" w:firstLineChars="200"/>
              <w:rPr>
                <w:szCs w:val="21"/>
              </w:rPr>
            </w:pPr>
            <w:r>
              <w:rPr>
                <w:rFonts w:hint="eastAsia"/>
                <w:szCs w:val="21"/>
                <w:lang w:val="en-US" w:eastAsia="zh-CN"/>
              </w:rPr>
              <w:t>产品使用说明书中列入环境因素性告知内容</w:t>
            </w:r>
            <w:r>
              <w:rPr>
                <w:rFonts w:hint="eastAsia"/>
                <w:szCs w:val="21"/>
              </w:rPr>
              <w:t>。</w:t>
            </w:r>
          </w:p>
          <w:p>
            <w:pPr>
              <w:spacing w:line="280" w:lineRule="exact"/>
              <w:ind w:firstLine="420" w:firstLineChars="200"/>
              <w:rPr>
                <w:rFonts w:hint="default" w:eastAsia="宋体"/>
                <w:szCs w:val="21"/>
                <w:lang w:val="en-US" w:eastAsia="zh-CN"/>
              </w:rPr>
            </w:pPr>
            <w:r>
              <w:rPr>
                <w:rFonts w:hint="eastAsia"/>
                <w:szCs w:val="21"/>
              </w:rPr>
              <w:t>2、</w:t>
            </w:r>
            <w:r>
              <w:rPr>
                <w:rFonts w:hint="eastAsia"/>
                <w:szCs w:val="21"/>
                <w:lang w:val="en-US" w:eastAsia="zh-CN"/>
              </w:rPr>
              <w:t>办公场所环境因素管理</w:t>
            </w:r>
          </w:p>
          <w:p>
            <w:pPr>
              <w:spacing w:line="280" w:lineRule="exact"/>
              <w:ind w:firstLine="420" w:firstLineChars="200"/>
              <w:rPr>
                <w:szCs w:val="21"/>
              </w:rPr>
            </w:pPr>
            <w:r>
              <w:rPr>
                <w:rFonts w:hint="eastAsia"/>
                <w:szCs w:val="21"/>
              </w:rPr>
              <w:t>办公现场</w:t>
            </w:r>
            <w:r>
              <w:rPr>
                <w:rFonts w:hint="eastAsia"/>
                <w:szCs w:val="21"/>
                <w:lang w:val="en-US" w:eastAsia="zh-CN"/>
              </w:rPr>
              <w:t>按总经办统一规定执行，垃圾分类处理、办公固废由总经办统一处置、用电和消防安全由总经办统一检查</w:t>
            </w:r>
            <w:r>
              <w:rPr>
                <w:rFonts w:hint="eastAsia"/>
                <w:szCs w:val="21"/>
              </w:rPr>
              <w:t>。</w:t>
            </w:r>
          </w:p>
          <w:p>
            <w:pPr>
              <w:spacing w:line="280" w:lineRule="exact"/>
              <w:ind w:firstLine="420" w:firstLineChars="200"/>
              <w:rPr>
                <w:szCs w:val="21"/>
              </w:rPr>
            </w:pPr>
            <w:r>
              <w:rPr>
                <w:rFonts w:hint="eastAsia"/>
                <w:szCs w:val="21"/>
              </w:rPr>
              <w:t>3、能源资源管控</w:t>
            </w:r>
          </w:p>
          <w:p>
            <w:pPr>
              <w:spacing w:line="280" w:lineRule="exact"/>
              <w:ind w:firstLine="420" w:firstLineChars="200"/>
              <w:rPr>
                <w:szCs w:val="21"/>
              </w:rPr>
            </w:pPr>
            <w:r>
              <w:rPr>
                <w:rFonts w:hint="eastAsia"/>
                <w:szCs w:val="21"/>
              </w:rPr>
              <w:t>销售过程注意节水、节电、节油，人走关闭开关，未发现有漏水和浪费电能的现象。</w:t>
            </w:r>
          </w:p>
          <w:p>
            <w:pPr>
              <w:spacing w:line="280" w:lineRule="exact"/>
              <w:ind w:firstLine="420" w:firstLineChars="200"/>
              <w:rPr>
                <w:szCs w:val="21"/>
              </w:rPr>
            </w:pPr>
            <w:r>
              <w:rPr>
                <w:rFonts w:hint="eastAsia"/>
                <w:szCs w:val="21"/>
                <w:lang w:val="en-US" w:eastAsia="zh-CN"/>
              </w:rPr>
              <w:t>4</w:t>
            </w:r>
            <w:r>
              <w:rPr>
                <w:rFonts w:hint="eastAsia"/>
                <w:szCs w:val="21"/>
              </w:rPr>
              <w:t>、潜在火灾管控</w:t>
            </w:r>
          </w:p>
          <w:p>
            <w:pPr>
              <w:spacing w:line="280" w:lineRule="exact"/>
              <w:ind w:firstLine="420" w:firstLineChars="200"/>
              <w:rPr>
                <w:szCs w:val="21"/>
              </w:rPr>
            </w:pPr>
            <w:r>
              <w:rPr>
                <w:rFonts w:hint="eastAsia"/>
                <w:szCs w:val="21"/>
              </w:rPr>
              <w:t>公司现场配有灭火器和应急预案。</w:t>
            </w:r>
          </w:p>
          <w:p>
            <w:pPr>
              <w:spacing w:line="280" w:lineRule="exact"/>
              <w:ind w:firstLine="420" w:firstLineChars="200"/>
              <w:rPr>
                <w:szCs w:val="21"/>
              </w:rPr>
            </w:pPr>
            <w:r>
              <w:rPr>
                <w:rFonts w:hint="eastAsia"/>
                <w:szCs w:val="21"/>
              </w:rPr>
              <w:t>疫情期间进出公司人员进行温度登记，查看健康码，公司给员工发放口罩等劳保用品，不允许私拉乱扔。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E8.2</w:t>
            </w:r>
          </w:p>
        </w:tc>
        <w:tc>
          <w:tcPr>
            <w:tcW w:w="10004" w:type="dxa"/>
            <w:vAlign w:val="center"/>
          </w:tcPr>
          <w:p>
            <w:pPr>
              <w:pStyle w:val="13"/>
              <w:spacing w:line="280" w:lineRule="exact"/>
              <w:rPr>
                <w:sz w:val="21"/>
                <w:szCs w:val="21"/>
              </w:rPr>
            </w:pPr>
            <w:r>
              <w:rPr>
                <w:rFonts w:hint="eastAsia"/>
                <w:sz w:val="21"/>
                <w:szCs w:val="21"/>
              </w:rPr>
              <w:t>编制了《应急准备和响应管理程序》，查看内容基本符合要求。</w:t>
            </w:r>
          </w:p>
          <w:p>
            <w:pPr>
              <w:pStyle w:val="13"/>
              <w:spacing w:line="280" w:lineRule="exact"/>
              <w:ind w:firstLineChars="0"/>
              <w:rPr>
                <w:sz w:val="21"/>
                <w:szCs w:val="21"/>
              </w:rPr>
            </w:pPr>
            <w:r>
              <w:rPr>
                <w:rFonts w:hint="eastAsia"/>
                <w:sz w:val="21"/>
                <w:szCs w:val="21"/>
              </w:rPr>
              <w:t>策划了应急预案包括触电、火灾、中暑等应急预案。</w:t>
            </w:r>
          </w:p>
          <w:p>
            <w:pPr>
              <w:pStyle w:val="13"/>
              <w:spacing w:line="280" w:lineRule="exact"/>
              <w:ind w:firstLineChars="0"/>
              <w:rPr>
                <w:sz w:val="21"/>
                <w:szCs w:val="21"/>
              </w:rPr>
            </w:pPr>
            <w:r>
              <w:rPr>
                <w:rFonts w:hint="eastAsia"/>
                <w:sz w:val="21"/>
                <w:szCs w:val="21"/>
              </w:rPr>
              <w:t>查应急预案评估报告，通过以上评估，公司应急预案的制定基本合理。</w:t>
            </w:r>
          </w:p>
          <w:p>
            <w:pPr>
              <w:pStyle w:val="13"/>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rFonts w:ascii="Calibri" w:hAnsi="Calibri"/>
                <w:szCs w:val="21"/>
              </w:rPr>
            </w:pPr>
            <w:r>
              <w:rPr>
                <w:rFonts w:hint="eastAsia" w:ascii="Calibri" w:hAnsi="Calibri"/>
                <w:szCs w:val="21"/>
              </w:rPr>
              <w:t>查消防灭火演练，演练时间20</w:t>
            </w:r>
            <w:r>
              <w:rPr>
                <w:rFonts w:hint="eastAsia" w:ascii="Calibri" w:hAnsi="Calibri"/>
                <w:szCs w:val="21"/>
                <w:lang w:val="en-US" w:eastAsia="zh-CN"/>
              </w:rPr>
              <w:t>21</w:t>
            </w:r>
            <w:r>
              <w:rPr>
                <w:rFonts w:ascii="Calibri" w:hAnsi="Calibri"/>
                <w:szCs w:val="21"/>
              </w:rPr>
              <w:t>.</w:t>
            </w:r>
            <w:r>
              <w:rPr>
                <w:rFonts w:hint="eastAsia" w:ascii="Calibri" w:hAnsi="Calibri"/>
                <w:szCs w:val="21"/>
                <w:lang w:val="en-US" w:eastAsia="zh-CN"/>
              </w:rPr>
              <w:t>5</w:t>
            </w:r>
            <w:r>
              <w:rPr>
                <w:rFonts w:ascii="Calibri" w:hAnsi="Calibri"/>
                <w:szCs w:val="21"/>
              </w:rPr>
              <w:t>.</w:t>
            </w:r>
            <w:r>
              <w:rPr>
                <w:rFonts w:hint="eastAsia" w:ascii="Calibri" w:hAnsi="Calibri"/>
                <w:szCs w:val="21"/>
                <w:lang w:val="en-US" w:eastAsia="zh-CN"/>
              </w:rPr>
              <w:t>19</w:t>
            </w:r>
            <w:r>
              <w:rPr>
                <w:rFonts w:hint="eastAsia" w:ascii="Calibri" w:hAnsi="Calibri"/>
                <w:szCs w:val="21"/>
              </w:rPr>
              <w:t>，地点厂区前空地，对演练过程进行了描述，并对预案的有效性进行了评价。目前未发生火灾、人身伤害等事故。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22" w:type="dxa"/>
          </w:tcPr>
          <w:p>
            <w:pPr>
              <w:spacing w:line="280" w:lineRule="exact"/>
              <w:rPr>
                <w:rFonts w:ascii="宋体" w:hAnsi="宋体" w:cs="宋体"/>
                <w:szCs w:val="21"/>
              </w:rPr>
            </w:pPr>
            <w:r>
              <w:rPr>
                <w:rFonts w:hint="eastAsia" w:ascii="宋体" w:hAnsi="宋体" w:cs="宋体"/>
                <w:color w:val="000000"/>
                <w:kern w:val="0"/>
                <w:szCs w:val="21"/>
              </w:rPr>
              <w:t>沟通</w:t>
            </w:r>
          </w:p>
        </w:tc>
        <w:tc>
          <w:tcPr>
            <w:tcW w:w="998" w:type="dxa"/>
          </w:tcPr>
          <w:p>
            <w:pPr>
              <w:spacing w:line="280" w:lineRule="exact"/>
              <w:rPr>
                <w:szCs w:val="21"/>
              </w:rPr>
            </w:pPr>
            <w:r>
              <w:rPr>
                <w:rFonts w:hint="eastAsia" w:ascii="宋体" w:hAnsi="宋体" w:cs="宋体"/>
                <w:color w:val="000000"/>
                <w:kern w:val="0"/>
                <w:szCs w:val="21"/>
              </w:rPr>
              <w:t>QE7.4</w:t>
            </w:r>
          </w:p>
        </w:tc>
        <w:tc>
          <w:tcPr>
            <w:tcW w:w="10004" w:type="dxa"/>
            <w:vAlign w:val="center"/>
          </w:tcPr>
          <w:p>
            <w:pPr>
              <w:spacing w:line="280" w:lineRule="exact"/>
              <w:ind w:firstLine="420" w:firstLineChars="200"/>
              <w:rPr>
                <w:szCs w:val="21"/>
              </w:rPr>
            </w:pPr>
            <w:r>
              <w:rPr>
                <w:rFonts w:hint="eastAsia"/>
                <w:szCs w:val="21"/>
              </w:rPr>
              <w:t>公司编制并实施了《</w:t>
            </w:r>
            <w:bookmarkStart w:id="0" w:name="OLE_LINK5"/>
            <w:r>
              <w:rPr>
                <w:rFonts w:hint="eastAsia"/>
                <w:szCs w:val="21"/>
              </w:rPr>
              <w:t>信息交流管理程序</w:t>
            </w:r>
            <w:bookmarkEnd w:id="0"/>
            <w:r>
              <w:rPr>
                <w:rFonts w:hint="eastAsia"/>
                <w:szCs w:val="21"/>
              </w:rPr>
              <w:t>》，规定了职责、工作流程，包括内部沟通和外部沟通的方法和要求。</w:t>
            </w:r>
          </w:p>
          <w:p>
            <w:pPr>
              <w:spacing w:line="280" w:lineRule="exact"/>
              <w:ind w:firstLine="420" w:firstLineChars="200"/>
              <w:rPr>
                <w:szCs w:val="21"/>
              </w:rPr>
            </w:pPr>
            <w:r>
              <w:rPr>
                <w:rFonts w:hint="eastAsia"/>
                <w:szCs w:val="21"/>
              </w:rPr>
              <w:t>公司确定了质量、环境管理体系相关的内部和外部沟通，包括：沟通什么；何时沟通；与谁沟通；如何沟通；由谁负责，公司内部以口头、会议、电话、微信、QQ等形式沟通；会议有年度、季度和月度会议；沟通相关服务要求、环境和职业健康安全事项。对外沟通由</w:t>
            </w:r>
            <w:r>
              <w:rPr>
                <w:rFonts w:hint="eastAsia"/>
                <w:szCs w:val="21"/>
                <w:lang w:eastAsia="zh-CN"/>
              </w:rPr>
              <w:t>总经办</w:t>
            </w:r>
            <w:r>
              <w:rPr>
                <w:rFonts w:hint="eastAsia"/>
                <w:szCs w:val="21"/>
              </w:rPr>
              <w:t>统一负责。</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外部交流：通过发放《关于对相关方要求的告知书》与相关方就相关环境信息进行相互沟通。</w:t>
            </w:r>
          </w:p>
          <w:p>
            <w:pPr>
              <w:spacing w:line="280" w:lineRule="exact"/>
              <w:ind w:firstLine="420" w:firstLineChars="200"/>
              <w:rPr>
                <w:szCs w:val="21"/>
              </w:rPr>
            </w:pPr>
            <w:r>
              <w:rPr>
                <w:rFonts w:hint="eastAsia"/>
                <w:szCs w:val="21"/>
              </w:rPr>
              <w:t>和员工赵某某面谈，知道公司的管理者代表及职业健康安全事务代表。</w:t>
            </w:r>
          </w:p>
          <w:p>
            <w:pPr>
              <w:spacing w:line="280" w:lineRule="exact"/>
              <w:ind w:firstLine="420" w:firstLineChars="200"/>
              <w:rPr>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22" w:type="dxa"/>
          </w:tcPr>
          <w:p>
            <w:pPr>
              <w:adjustRightInd w:val="0"/>
              <w:snapToGrid w:val="0"/>
              <w:spacing w:line="320" w:lineRule="exact"/>
              <w:ind w:right="105" w:rightChars="50"/>
              <w:textAlignment w:val="baseline"/>
              <w:rPr>
                <w:rFonts w:ascii="宋体" w:hAnsi="宋体" w:cs="宋体"/>
                <w:color w:val="000000"/>
                <w:kern w:val="0"/>
                <w:szCs w:val="21"/>
              </w:rPr>
            </w:pPr>
            <w:r>
              <w:rPr>
                <w:rFonts w:hint="eastAsia" w:ascii="宋体" w:hAnsi="宋体" w:cs="Arial"/>
                <w:szCs w:val="21"/>
              </w:rPr>
              <w:t>产品和服务的要求</w:t>
            </w:r>
          </w:p>
        </w:tc>
        <w:tc>
          <w:tcPr>
            <w:tcW w:w="998" w:type="dxa"/>
          </w:tcPr>
          <w:p>
            <w:pPr>
              <w:spacing w:line="280" w:lineRule="exact"/>
              <w:rPr>
                <w:rFonts w:ascii="宋体" w:hAnsi="宋体" w:cs="宋体"/>
                <w:color w:val="000000"/>
                <w:kern w:val="0"/>
                <w:szCs w:val="21"/>
              </w:rPr>
            </w:pPr>
            <w:r>
              <w:rPr>
                <w:rFonts w:hint="eastAsia" w:ascii="宋体" w:hAnsi="宋体" w:cs="Arial"/>
                <w:szCs w:val="21"/>
              </w:rPr>
              <w:t>8.2</w:t>
            </w:r>
          </w:p>
        </w:tc>
        <w:tc>
          <w:tcPr>
            <w:tcW w:w="10004" w:type="dxa"/>
          </w:tcPr>
          <w:p>
            <w:pPr>
              <w:spacing w:line="280" w:lineRule="exact"/>
              <w:ind w:firstLine="420" w:firstLineChars="200"/>
              <w:rPr>
                <w:color w:val="000000"/>
                <w:szCs w:val="21"/>
              </w:rPr>
            </w:pPr>
            <w:r>
              <w:rPr>
                <w:rFonts w:hint="eastAsia"/>
                <w:color w:val="000000"/>
                <w:szCs w:val="21"/>
                <w:lang w:eastAsia="zh-CN"/>
              </w:rPr>
              <w:t>供销部</w:t>
            </w:r>
            <w:r>
              <w:rPr>
                <w:rFonts w:hint="eastAsia"/>
                <w:color w:val="000000"/>
                <w:szCs w:val="21"/>
              </w:rPr>
              <w:t>通过和客户电话联系、上门回访、邮箱联系等方式进行服务宣传，向顾客介绍服务，回答顾客的咨询，让顾客了解公司及服务情况。</w:t>
            </w:r>
            <w:r>
              <w:rPr>
                <w:rFonts w:hint="eastAsia"/>
                <w:color w:val="000000"/>
                <w:szCs w:val="21"/>
                <w:lang w:eastAsia="zh-CN"/>
              </w:rPr>
              <w:t>供销部</w:t>
            </w:r>
            <w:r>
              <w:rPr>
                <w:rFonts w:hint="eastAsia"/>
                <w:color w:val="000000"/>
                <w:szCs w:val="21"/>
              </w:rPr>
              <w:t>负责就合同或订单的处理，合同的评审，向顾客提供符合要求的服务。每年向顾客发放满意度调查表了解顾客的需求和期望。</w:t>
            </w:r>
          </w:p>
          <w:p>
            <w:pPr>
              <w:spacing w:line="280" w:lineRule="exact"/>
              <w:ind w:firstLine="420" w:firstLineChars="200"/>
              <w:rPr>
                <w:color w:val="000000"/>
                <w:szCs w:val="21"/>
              </w:rPr>
            </w:pPr>
            <w:r>
              <w:rPr>
                <w:rFonts w:hint="eastAsia"/>
                <w:color w:val="000000"/>
                <w:szCs w:val="21"/>
              </w:rPr>
              <w:t>公司编制的管理手册中规定了与服务有关要求的确定、评审以及更改的职责和工作流程要求。</w:t>
            </w:r>
          </w:p>
          <w:p>
            <w:pPr>
              <w:spacing w:line="280" w:lineRule="exact"/>
              <w:ind w:firstLine="420" w:firstLineChars="200"/>
              <w:rPr>
                <w:color w:val="000000"/>
                <w:szCs w:val="21"/>
              </w:rPr>
            </w:pPr>
            <w:r>
              <w:rPr>
                <w:rFonts w:hint="eastAsia"/>
                <w:color w:val="000000"/>
                <w:szCs w:val="21"/>
              </w:rPr>
              <w:t>顾客明确规定的要求：即有销售服务本身的质量要求也包括后续活动的要求。顾客没有明确规定，但预期或规定用途所必要的要求。与</w:t>
            </w:r>
            <w:r>
              <w:rPr>
                <w:rFonts w:hint="eastAsia"/>
                <w:color w:val="000000"/>
                <w:szCs w:val="21"/>
                <w:lang w:val="en-US" w:eastAsia="zh-CN"/>
              </w:rPr>
              <w:t>竹地板</w:t>
            </w:r>
            <w:r>
              <w:rPr>
                <w:rFonts w:hint="eastAsia"/>
                <w:color w:val="000000"/>
                <w:szCs w:val="21"/>
              </w:rPr>
              <w:t>的销售服务有关的法律法规的要求及本公司附加的对顾客的责任。</w:t>
            </w:r>
          </w:p>
          <w:p>
            <w:pPr>
              <w:spacing w:line="280" w:lineRule="exact"/>
              <w:ind w:firstLine="420" w:firstLineChars="200"/>
              <w:rPr>
                <w:color w:val="000000"/>
                <w:szCs w:val="21"/>
              </w:rPr>
            </w:pPr>
            <w:r>
              <w:rPr>
                <w:rFonts w:hint="eastAsia"/>
                <w:color w:val="000000"/>
                <w:szCs w:val="21"/>
              </w:rPr>
              <w:t>公司承接业务的方式主要是：通过与顾客签订合同，公司按顾客要求组织服务，并以传真等方式进行沟通、确认，并对</w:t>
            </w:r>
            <w:r>
              <w:rPr>
                <w:rFonts w:hint="eastAsia"/>
                <w:color w:val="000000"/>
                <w:szCs w:val="21"/>
                <w:lang w:eastAsia="zh-CN"/>
              </w:rPr>
              <w:t>竹地板</w:t>
            </w:r>
            <w:r>
              <w:rPr>
                <w:rFonts w:hint="eastAsia"/>
                <w:color w:val="000000"/>
                <w:szCs w:val="21"/>
              </w:rPr>
              <w:t>的销售要求等给予了明确。</w:t>
            </w:r>
          </w:p>
          <w:p>
            <w:pPr>
              <w:spacing w:line="280" w:lineRule="exact"/>
              <w:ind w:firstLine="420" w:firstLineChars="200"/>
              <w:rPr>
                <w:color w:val="000000"/>
                <w:szCs w:val="21"/>
              </w:rPr>
            </w:pPr>
            <w:r>
              <w:rPr>
                <w:rFonts w:hint="eastAsia"/>
                <w:color w:val="000000"/>
                <w:szCs w:val="21"/>
              </w:rPr>
              <w:t>公司</w:t>
            </w:r>
            <w:r>
              <w:rPr>
                <w:rFonts w:hint="eastAsia"/>
                <w:color w:val="000000"/>
                <w:szCs w:val="21"/>
                <w:lang w:eastAsia="zh-CN"/>
              </w:rPr>
              <w:t>竹地板</w:t>
            </w:r>
            <w:r>
              <w:rPr>
                <w:rFonts w:hint="eastAsia"/>
                <w:color w:val="000000"/>
                <w:szCs w:val="21"/>
              </w:rPr>
              <w:t>的销售服务基本已成熟，收到合同后在公司内组织评审，没有异议后，总经理直接在合同上签字即完成合同评审。目前承接的合同都是常规合同。</w:t>
            </w:r>
          </w:p>
          <w:p>
            <w:pPr>
              <w:spacing w:line="280" w:lineRule="exact"/>
              <w:ind w:firstLine="420" w:firstLineChars="200"/>
              <w:rPr>
                <w:color w:val="000000"/>
                <w:szCs w:val="21"/>
              </w:rPr>
            </w:pPr>
            <w:r>
              <w:rPr>
                <w:rFonts w:hint="eastAsia"/>
                <w:color w:val="000000"/>
                <w:szCs w:val="21"/>
              </w:rPr>
              <w:t>公司顾客主要为</w:t>
            </w:r>
            <w:r>
              <w:rPr>
                <w:rFonts w:hint="eastAsia"/>
                <w:color w:val="000000"/>
                <w:szCs w:val="21"/>
                <w:lang w:val="en-US" w:eastAsia="zh-CN"/>
              </w:rPr>
              <w:t>经销商、代理商或直接用户</w:t>
            </w:r>
            <w:r>
              <w:rPr>
                <w:rFonts w:hint="eastAsia"/>
                <w:color w:val="000000"/>
                <w:szCs w:val="21"/>
              </w:rPr>
              <w:t>。</w:t>
            </w:r>
          </w:p>
          <w:p>
            <w:pPr>
              <w:spacing w:line="280" w:lineRule="exact"/>
              <w:ind w:firstLine="420" w:firstLineChars="200"/>
              <w:rPr>
                <w:color w:val="000000"/>
                <w:szCs w:val="21"/>
              </w:rPr>
            </w:pPr>
            <w:r>
              <w:rPr>
                <w:rFonts w:hint="eastAsia"/>
                <w:color w:val="000000"/>
                <w:szCs w:val="21"/>
              </w:rPr>
              <w:t>抽查：</w:t>
            </w:r>
          </w:p>
          <w:p>
            <w:pPr>
              <w:spacing w:line="280" w:lineRule="exact"/>
              <w:ind w:firstLine="420" w:firstLineChars="200"/>
              <w:rPr>
                <w:rFonts w:hint="eastAsia"/>
                <w:color w:val="000000"/>
                <w:szCs w:val="21"/>
                <w:lang w:val="en-US" w:eastAsia="zh-CN"/>
              </w:rPr>
            </w:pPr>
            <w:r>
              <w:rPr>
                <w:rFonts w:hint="eastAsia"/>
                <w:color w:val="000000"/>
                <w:szCs w:val="21"/>
              </w:rPr>
              <w:t>1、20</w:t>
            </w:r>
            <w:r>
              <w:rPr>
                <w:rFonts w:hint="eastAsia"/>
                <w:color w:val="000000"/>
                <w:szCs w:val="21"/>
                <w:lang w:val="en-US" w:eastAsia="zh-CN"/>
              </w:rPr>
              <w:t>21</w:t>
            </w:r>
            <w:r>
              <w:rPr>
                <w:rFonts w:hint="eastAsia"/>
                <w:color w:val="000000"/>
                <w:szCs w:val="21"/>
              </w:rPr>
              <w:t>-</w:t>
            </w:r>
            <w:r>
              <w:rPr>
                <w:rFonts w:hint="eastAsia"/>
                <w:color w:val="000000"/>
                <w:szCs w:val="21"/>
                <w:lang w:val="en-US" w:eastAsia="zh-CN"/>
              </w:rPr>
              <w:t>2</w:t>
            </w:r>
            <w:r>
              <w:rPr>
                <w:rFonts w:hint="eastAsia"/>
                <w:color w:val="000000"/>
                <w:szCs w:val="21"/>
              </w:rPr>
              <w:t>-</w:t>
            </w:r>
            <w:r>
              <w:rPr>
                <w:rFonts w:hint="eastAsia"/>
                <w:color w:val="000000"/>
                <w:szCs w:val="21"/>
                <w:lang w:val="en-US" w:eastAsia="zh-CN"/>
              </w:rPr>
              <w:t>25</w:t>
            </w:r>
            <w:r>
              <w:rPr>
                <w:rFonts w:hint="eastAsia"/>
                <w:color w:val="000000"/>
                <w:szCs w:val="21"/>
              </w:rPr>
              <w:t>与</w:t>
            </w:r>
            <w:r>
              <w:rPr>
                <w:rFonts w:hint="eastAsia"/>
                <w:color w:val="000000"/>
                <w:szCs w:val="21"/>
                <w:lang w:val="en-US" w:eastAsia="zh-CN"/>
              </w:rPr>
              <w:t>宜兴市玖益科技有限公司</w:t>
            </w:r>
            <w:r>
              <w:rPr>
                <w:rFonts w:hint="eastAsia"/>
                <w:color w:val="000000"/>
                <w:szCs w:val="21"/>
              </w:rPr>
              <w:t>签订销售</w:t>
            </w:r>
            <w:r>
              <w:rPr>
                <w:rFonts w:hint="eastAsia"/>
                <w:color w:val="000000"/>
                <w:szCs w:val="21"/>
                <w:lang w:val="en-US" w:eastAsia="zh-CN"/>
              </w:rPr>
              <w:t>重竹本色平扣地板，亚光</w:t>
            </w:r>
            <w:r>
              <w:rPr>
                <w:rFonts w:hint="eastAsia"/>
                <w:color w:val="000000"/>
                <w:szCs w:val="21"/>
              </w:rPr>
              <w:t>订货合同，合同规定了采购</w:t>
            </w:r>
            <w:r>
              <w:rPr>
                <w:rFonts w:hint="eastAsia"/>
                <w:color w:val="000000"/>
                <w:szCs w:val="21"/>
                <w:lang w:val="en-US" w:eastAsia="zh-CN"/>
              </w:rPr>
              <w:t>数量</w:t>
            </w:r>
            <w:r>
              <w:rPr>
                <w:rFonts w:hint="eastAsia"/>
                <w:color w:val="000000"/>
                <w:szCs w:val="21"/>
              </w:rPr>
              <w:t>、</w:t>
            </w:r>
            <w:r>
              <w:rPr>
                <w:rFonts w:hint="eastAsia"/>
                <w:color w:val="000000"/>
                <w:szCs w:val="21"/>
                <w:lang w:val="en-US" w:eastAsia="zh-CN"/>
              </w:rPr>
              <w:t>质量要求、</w:t>
            </w:r>
            <w:r>
              <w:rPr>
                <w:rFonts w:hint="eastAsia"/>
                <w:color w:val="000000"/>
                <w:szCs w:val="21"/>
              </w:rPr>
              <w:t>验收方式、交付时间、付款方式、违约责任等条款，要求明确，</w:t>
            </w:r>
            <w:r>
              <w:rPr>
                <w:rFonts w:hint="eastAsia"/>
                <w:color w:val="000000"/>
                <w:szCs w:val="21"/>
                <w:lang w:val="en-US" w:eastAsia="zh-CN"/>
              </w:rPr>
              <w:t>合同双方盖章确认，评审。</w:t>
            </w:r>
          </w:p>
          <w:p>
            <w:pPr>
              <w:spacing w:line="280" w:lineRule="exact"/>
              <w:ind w:firstLine="420" w:firstLineChars="200"/>
              <w:rPr>
                <w:color w:val="000000"/>
                <w:szCs w:val="21"/>
              </w:rPr>
            </w:pPr>
            <w:r>
              <w:rPr>
                <w:rFonts w:hint="eastAsia"/>
                <w:color w:val="000000"/>
                <w:szCs w:val="21"/>
              </w:rPr>
              <w:t>2、20</w:t>
            </w:r>
            <w:r>
              <w:rPr>
                <w:rFonts w:hint="eastAsia"/>
                <w:color w:val="000000"/>
                <w:szCs w:val="21"/>
                <w:lang w:val="en-US" w:eastAsia="zh-CN"/>
              </w:rPr>
              <w:t>21</w:t>
            </w:r>
            <w:r>
              <w:rPr>
                <w:rFonts w:hint="eastAsia"/>
                <w:color w:val="000000"/>
                <w:szCs w:val="21"/>
              </w:rPr>
              <w:t>-</w:t>
            </w:r>
            <w:r>
              <w:rPr>
                <w:rFonts w:hint="eastAsia"/>
                <w:color w:val="000000"/>
                <w:szCs w:val="21"/>
                <w:lang w:val="en-US" w:eastAsia="zh-CN"/>
              </w:rPr>
              <w:t>8-5</w:t>
            </w:r>
            <w:r>
              <w:rPr>
                <w:rFonts w:hint="eastAsia"/>
                <w:color w:val="000000"/>
                <w:szCs w:val="21"/>
              </w:rPr>
              <w:t>与</w:t>
            </w:r>
            <w:r>
              <w:rPr>
                <w:rFonts w:hint="eastAsia"/>
                <w:color w:val="000000"/>
                <w:szCs w:val="21"/>
                <w:lang w:val="en-US" w:eastAsia="zh-CN"/>
              </w:rPr>
              <w:t>YEAR FULL GROUP HOLDINGS LIMITED</w:t>
            </w:r>
            <w:r>
              <w:rPr>
                <w:rFonts w:hint="eastAsia"/>
                <w:color w:val="000000"/>
                <w:szCs w:val="21"/>
              </w:rPr>
              <w:t>签订销售</w:t>
            </w:r>
            <w:r>
              <w:rPr>
                <w:rFonts w:hint="eastAsia"/>
                <w:color w:val="000000"/>
                <w:szCs w:val="21"/>
                <w:lang w:val="en-US" w:eastAsia="zh-CN"/>
              </w:rPr>
              <w:t>本色重竹地板</w:t>
            </w:r>
            <w:r>
              <w:rPr>
                <w:rFonts w:hint="eastAsia"/>
                <w:color w:val="000000"/>
                <w:szCs w:val="21"/>
              </w:rPr>
              <w:t>订货合同，合同规定了采购</w:t>
            </w:r>
            <w:r>
              <w:rPr>
                <w:rFonts w:hint="eastAsia"/>
                <w:color w:val="000000"/>
                <w:szCs w:val="21"/>
                <w:lang w:val="en-US" w:eastAsia="zh-CN"/>
              </w:rPr>
              <w:t>数量</w:t>
            </w:r>
            <w:r>
              <w:rPr>
                <w:rFonts w:hint="eastAsia"/>
                <w:color w:val="000000"/>
                <w:szCs w:val="21"/>
              </w:rPr>
              <w:t>、</w:t>
            </w:r>
            <w:r>
              <w:rPr>
                <w:rFonts w:hint="eastAsia"/>
                <w:color w:val="000000"/>
                <w:szCs w:val="21"/>
                <w:lang w:val="en-US" w:eastAsia="zh-CN"/>
              </w:rPr>
              <w:t>质量要求、</w:t>
            </w:r>
            <w:r>
              <w:rPr>
                <w:rFonts w:hint="eastAsia"/>
                <w:color w:val="000000"/>
                <w:szCs w:val="21"/>
              </w:rPr>
              <w:t>验收方式、交付时间、付款方式、违约责任等条款，要求明确，</w:t>
            </w:r>
            <w:r>
              <w:rPr>
                <w:rFonts w:hint="eastAsia"/>
                <w:color w:val="000000"/>
                <w:szCs w:val="21"/>
                <w:lang w:val="en-US" w:eastAsia="zh-CN"/>
              </w:rPr>
              <w:t>合同双方签字确认，审批人：杨利刚</w:t>
            </w:r>
            <w:r>
              <w:rPr>
                <w:rFonts w:hint="eastAsia"/>
                <w:color w:val="000000"/>
                <w:szCs w:val="21"/>
              </w:rPr>
              <w:t>。</w:t>
            </w:r>
          </w:p>
          <w:p>
            <w:pPr>
              <w:spacing w:line="280" w:lineRule="exact"/>
              <w:ind w:firstLine="420" w:firstLineChars="200"/>
              <w:rPr>
                <w:color w:val="000000"/>
                <w:szCs w:val="21"/>
              </w:rPr>
            </w:pPr>
            <w:r>
              <w:rPr>
                <w:rFonts w:hint="eastAsia"/>
                <w:color w:val="000000"/>
                <w:szCs w:val="21"/>
              </w:rPr>
              <w:t>3、20</w:t>
            </w:r>
            <w:r>
              <w:rPr>
                <w:rFonts w:hint="eastAsia"/>
                <w:color w:val="000000"/>
                <w:szCs w:val="21"/>
                <w:lang w:val="en-US" w:eastAsia="zh-CN"/>
              </w:rPr>
              <w:t>21</w:t>
            </w:r>
            <w:r>
              <w:rPr>
                <w:rFonts w:hint="eastAsia"/>
                <w:color w:val="000000"/>
                <w:szCs w:val="21"/>
              </w:rPr>
              <w:t>-</w:t>
            </w:r>
            <w:r>
              <w:rPr>
                <w:rFonts w:hint="eastAsia"/>
                <w:color w:val="000000"/>
                <w:szCs w:val="21"/>
                <w:lang w:val="en-US" w:eastAsia="zh-CN"/>
              </w:rPr>
              <w:t>7</w:t>
            </w:r>
            <w:r>
              <w:rPr>
                <w:rFonts w:hint="eastAsia"/>
                <w:color w:val="000000"/>
                <w:szCs w:val="21"/>
              </w:rPr>
              <w:t>-</w:t>
            </w:r>
            <w:r>
              <w:rPr>
                <w:rFonts w:hint="eastAsia"/>
                <w:color w:val="000000"/>
                <w:szCs w:val="21"/>
                <w:lang w:val="en-US" w:eastAsia="zh-CN"/>
              </w:rPr>
              <w:t>30</w:t>
            </w:r>
            <w:r>
              <w:rPr>
                <w:rFonts w:hint="eastAsia"/>
                <w:color w:val="000000"/>
                <w:szCs w:val="21"/>
              </w:rPr>
              <w:t>与</w:t>
            </w:r>
            <w:r>
              <w:rPr>
                <w:rFonts w:hint="eastAsia"/>
                <w:color w:val="000000"/>
                <w:szCs w:val="21"/>
                <w:lang w:val="en-US" w:eastAsia="zh-CN"/>
              </w:rPr>
              <w:t>北京碧成达科技有限公司</w:t>
            </w:r>
            <w:r>
              <w:rPr>
                <w:rFonts w:hint="eastAsia"/>
                <w:color w:val="000000"/>
                <w:szCs w:val="21"/>
              </w:rPr>
              <w:t>签订销售</w:t>
            </w:r>
            <w:r>
              <w:rPr>
                <w:rFonts w:hint="eastAsia"/>
                <w:color w:val="000000"/>
                <w:szCs w:val="21"/>
                <w:lang w:val="en-US" w:eastAsia="zh-CN"/>
              </w:rPr>
              <w:t>平扣重竹地板，碳化</w:t>
            </w:r>
            <w:r>
              <w:rPr>
                <w:rFonts w:hint="eastAsia"/>
                <w:color w:val="000000"/>
                <w:szCs w:val="21"/>
              </w:rPr>
              <w:t>订货合同，合同规定了采购</w:t>
            </w:r>
            <w:r>
              <w:rPr>
                <w:rFonts w:hint="eastAsia"/>
                <w:color w:val="000000"/>
                <w:szCs w:val="21"/>
                <w:lang w:val="en-US" w:eastAsia="zh-CN"/>
              </w:rPr>
              <w:t>数量</w:t>
            </w:r>
            <w:r>
              <w:rPr>
                <w:rFonts w:hint="eastAsia"/>
                <w:color w:val="000000"/>
                <w:szCs w:val="21"/>
              </w:rPr>
              <w:t>、</w:t>
            </w:r>
            <w:r>
              <w:rPr>
                <w:rFonts w:hint="eastAsia"/>
                <w:color w:val="000000"/>
                <w:szCs w:val="21"/>
                <w:lang w:val="en-US" w:eastAsia="zh-CN"/>
              </w:rPr>
              <w:t>质量要求、</w:t>
            </w:r>
            <w:r>
              <w:rPr>
                <w:rFonts w:hint="eastAsia"/>
                <w:color w:val="000000"/>
                <w:szCs w:val="21"/>
              </w:rPr>
              <w:t>验收方式、交付时间、付款方式、违约责任等条款，要求明确，</w:t>
            </w:r>
            <w:r>
              <w:rPr>
                <w:rFonts w:hint="eastAsia"/>
                <w:color w:val="000000"/>
                <w:szCs w:val="21"/>
                <w:lang w:val="en-US" w:eastAsia="zh-CN"/>
              </w:rPr>
              <w:t>合同双方盖章确认，评审</w:t>
            </w:r>
            <w:r>
              <w:rPr>
                <w:rFonts w:hint="eastAsia"/>
                <w:color w:val="000000"/>
                <w:szCs w:val="21"/>
              </w:rPr>
              <w:t>。</w:t>
            </w:r>
          </w:p>
          <w:p>
            <w:pPr>
              <w:spacing w:line="280" w:lineRule="exact"/>
              <w:ind w:firstLine="420" w:firstLineChars="200"/>
              <w:rPr>
                <w:rFonts w:hint="eastAsia"/>
                <w:color w:val="000000"/>
                <w:szCs w:val="21"/>
              </w:rPr>
            </w:pPr>
          </w:p>
          <w:p>
            <w:pPr>
              <w:spacing w:line="280" w:lineRule="exact"/>
              <w:ind w:firstLine="420" w:firstLineChars="200"/>
              <w:rPr>
                <w:color w:val="000000"/>
                <w:szCs w:val="21"/>
              </w:rPr>
            </w:pPr>
            <w:r>
              <w:rPr>
                <w:rFonts w:hint="eastAsia"/>
                <w:color w:val="000000"/>
                <w:szCs w:val="21"/>
              </w:rPr>
              <w:t>以上合同均已实施，合同评审在答复顾客之前进行。</w:t>
            </w:r>
          </w:p>
          <w:p>
            <w:pPr>
              <w:spacing w:line="280" w:lineRule="exact"/>
              <w:ind w:firstLine="420" w:firstLineChars="200"/>
              <w:rPr>
                <w:color w:val="000000"/>
                <w:szCs w:val="21"/>
              </w:rPr>
            </w:pPr>
            <w:r>
              <w:rPr>
                <w:rFonts w:hint="eastAsia"/>
                <w:color w:val="000000"/>
                <w:szCs w:val="21"/>
              </w:rPr>
              <w:t>与顾客的沟通由</w:t>
            </w:r>
            <w:r>
              <w:rPr>
                <w:rFonts w:hint="eastAsia"/>
                <w:color w:val="000000"/>
                <w:szCs w:val="21"/>
                <w:lang w:eastAsia="zh-CN"/>
              </w:rPr>
              <w:t>供销部</w:t>
            </w:r>
            <w:r>
              <w:rPr>
                <w:rFonts w:hint="eastAsia"/>
                <w:color w:val="000000"/>
                <w:szCs w:val="21"/>
              </w:rPr>
              <w:t>负责，方法：通过手机、传真、微信等直接与固定客户保持日常联系，其内容包括：特殊要求、价格、后续服务等。</w:t>
            </w:r>
          </w:p>
          <w:p>
            <w:pPr>
              <w:spacing w:line="280" w:lineRule="exact"/>
              <w:ind w:firstLine="421"/>
              <w:rPr>
                <w:b/>
                <w:color w:val="000000"/>
                <w:szCs w:val="21"/>
              </w:rPr>
            </w:pPr>
            <w:r>
              <w:rPr>
                <w:rFonts w:hint="eastAsia"/>
                <w:color w:val="000000"/>
                <w:szCs w:val="21"/>
              </w:rPr>
              <w:t>公司暂无合同变更情况发生。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22" w:type="dxa"/>
          </w:tcPr>
          <w:p>
            <w:pPr>
              <w:spacing w:line="280" w:lineRule="exact"/>
              <w:rPr>
                <w:rFonts w:hint="default" w:eastAsia="宋体"/>
                <w:b/>
                <w:color w:val="000000"/>
                <w:szCs w:val="21"/>
                <w:lang w:val="en-US" w:eastAsia="zh-CN"/>
              </w:rPr>
            </w:pPr>
            <w:r>
              <w:rPr>
                <w:rFonts w:hint="eastAsia"/>
                <w:b/>
                <w:color w:val="000000"/>
                <w:szCs w:val="21"/>
                <w:lang w:val="en-US" w:eastAsia="zh-CN"/>
              </w:rPr>
              <w:t>顾客满意</w:t>
            </w:r>
          </w:p>
        </w:tc>
        <w:tc>
          <w:tcPr>
            <w:tcW w:w="998" w:type="dxa"/>
          </w:tcPr>
          <w:p>
            <w:pPr>
              <w:spacing w:line="280" w:lineRule="exact"/>
              <w:rPr>
                <w:rFonts w:hint="default" w:eastAsia="宋体"/>
                <w:b/>
                <w:color w:val="000000"/>
                <w:szCs w:val="21"/>
                <w:lang w:val="en-US" w:eastAsia="zh-CN"/>
              </w:rPr>
            </w:pPr>
            <w:r>
              <w:rPr>
                <w:rFonts w:hint="eastAsia"/>
                <w:b/>
                <w:color w:val="000000"/>
                <w:szCs w:val="21"/>
                <w:lang w:val="en-US" w:eastAsia="zh-CN"/>
              </w:rPr>
              <w:t>Q9.1.2</w:t>
            </w:r>
          </w:p>
        </w:tc>
        <w:tc>
          <w:tcPr>
            <w:tcW w:w="10004" w:type="dxa"/>
          </w:tcPr>
          <w:p>
            <w:pPr>
              <w:spacing w:line="280" w:lineRule="exact"/>
              <w:ind w:firstLine="421"/>
              <w:rPr>
                <w:rFonts w:hint="default" w:ascii="宋体" w:hAnsi="宋体" w:eastAsia="宋体" w:cs="宋体"/>
                <w:szCs w:val="21"/>
                <w:lang w:val="en-US" w:eastAsia="zh-CN"/>
              </w:rPr>
            </w:pPr>
            <w:r>
              <w:rPr>
                <w:rFonts w:hint="eastAsia" w:ascii="宋体" w:hAnsi="宋体" w:cs="宋体"/>
                <w:szCs w:val="21"/>
                <w:lang w:val="en-US" w:eastAsia="zh-CN"/>
              </w:rPr>
              <w:t>提供《顾客满意度评定准则》，共发了宜兴市玖益科技有限公司等5家单位，收回5份，按评定准则，顾客满意率得分为96.2。</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22" w:type="dxa"/>
            <w:vAlign w:val="top"/>
          </w:tcPr>
          <w:p>
            <w:pPr>
              <w:spacing w:line="280" w:lineRule="exact"/>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rPr>
              <w:t>外部提供过程</w:t>
            </w:r>
          </w:p>
        </w:tc>
        <w:tc>
          <w:tcPr>
            <w:tcW w:w="998" w:type="dxa"/>
            <w:vAlign w:val="top"/>
          </w:tcPr>
          <w:p>
            <w:pPr>
              <w:spacing w:line="280" w:lineRule="exact"/>
              <w:rPr>
                <w:rFonts w:hint="eastAsia" w:ascii="Times New Roman" w:hAnsi="Times New Roman" w:cs="Times New Roman"/>
                <w:szCs w:val="21"/>
              </w:rPr>
            </w:pPr>
            <w:r>
              <w:rPr>
                <w:rFonts w:hint="eastAsia" w:ascii="Times New Roman" w:hAnsi="Times New Roman" w:cs="Times New Roman"/>
                <w:szCs w:val="21"/>
              </w:rPr>
              <w:t>Q8.4</w:t>
            </w:r>
          </w:p>
          <w:p>
            <w:pPr>
              <w:spacing w:line="280" w:lineRule="exact"/>
              <w:ind w:firstLine="420" w:firstLineChars="200"/>
              <w:rPr>
                <w:rFonts w:hint="eastAsia" w:ascii="Times New Roman" w:hAnsi="Times New Roman" w:cs="Times New Roman"/>
                <w:szCs w:val="21"/>
              </w:rPr>
            </w:pPr>
          </w:p>
          <w:p>
            <w:pPr>
              <w:spacing w:line="280" w:lineRule="exact"/>
              <w:ind w:firstLine="420" w:firstLineChars="200"/>
              <w:rPr>
                <w:rFonts w:hint="eastAsia" w:ascii="Times New Roman" w:hAnsi="Times New Roman" w:cs="Times New Roman"/>
                <w:szCs w:val="21"/>
                <w:lang w:val="en-US" w:eastAsia="zh-CN"/>
              </w:rPr>
            </w:pPr>
          </w:p>
          <w:p>
            <w:pPr>
              <w:spacing w:line="280" w:lineRule="exact"/>
              <w:ind w:firstLine="420" w:firstLineChars="200"/>
              <w:rPr>
                <w:rFonts w:hint="eastAsia" w:ascii="Times New Roman" w:hAnsi="Times New Roman" w:cs="Times New Roman"/>
                <w:szCs w:val="21"/>
              </w:rPr>
            </w:pPr>
          </w:p>
          <w:p>
            <w:pPr>
              <w:spacing w:line="280" w:lineRule="exact"/>
              <w:ind w:firstLine="420" w:firstLineChars="200"/>
              <w:rPr>
                <w:rFonts w:hint="eastAsia" w:ascii="Times New Roman" w:hAnsi="Times New Roman" w:cs="Times New Roman"/>
                <w:szCs w:val="21"/>
                <w:lang w:val="en-US" w:eastAsia="zh-CN"/>
              </w:rPr>
            </w:pPr>
          </w:p>
          <w:p>
            <w:pPr>
              <w:spacing w:line="280" w:lineRule="exact"/>
              <w:ind w:firstLine="420" w:firstLineChars="200"/>
              <w:rPr>
                <w:rFonts w:hint="eastAsia" w:ascii="Times New Roman" w:hAnsi="Times New Roman" w:cs="Times New Roman"/>
                <w:szCs w:val="21"/>
                <w:lang w:val="en-US" w:eastAsia="zh-CN"/>
              </w:rPr>
            </w:pPr>
          </w:p>
          <w:p>
            <w:pPr>
              <w:spacing w:line="280" w:lineRule="exact"/>
              <w:ind w:firstLine="420" w:firstLineChars="200"/>
              <w:rPr>
                <w:rFonts w:hint="eastAsia" w:ascii="Times New Roman" w:hAnsi="Times New Roman" w:cs="Times New Roman"/>
                <w:szCs w:val="21"/>
                <w:lang w:val="en-US" w:eastAsia="zh-CN"/>
              </w:rPr>
            </w:pPr>
          </w:p>
          <w:p>
            <w:pPr>
              <w:spacing w:line="280" w:lineRule="exact"/>
              <w:ind w:firstLine="420" w:firstLineChars="200"/>
              <w:rPr>
                <w:rFonts w:hint="eastAsia" w:ascii="Times New Roman" w:hAnsi="Times New Roman" w:cs="Times New Roman"/>
                <w:szCs w:val="21"/>
                <w:lang w:val="en-US" w:eastAsia="zh-CN"/>
              </w:rPr>
            </w:pPr>
          </w:p>
          <w:p>
            <w:pPr>
              <w:spacing w:line="280" w:lineRule="exact"/>
              <w:ind w:firstLine="420" w:firstLineChars="200"/>
              <w:rPr>
                <w:rFonts w:hint="eastAsia" w:ascii="Times New Roman" w:hAnsi="Times New Roman" w:cs="Times New Roman"/>
                <w:szCs w:val="21"/>
                <w:lang w:val="en-US" w:eastAsia="zh-CN"/>
              </w:rPr>
            </w:pPr>
          </w:p>
          <w:p>
            <w:pPr>
              <w:spacing w:line="280" w:lineRule="exact"/>
              <w:ind w:firstLine="420" w:firstLineChars="200"/>
              <w:rPr>
                <w:rFonts w:hint="eastAsia" w:ascii="Times New Roman" w:hAnsi="Times New Roman" w:cs="Times New Roman"/>
                <w:szCs w:val="21"/>
                <w:lang w:val="en-US" w:eastAsia="zh-CN"/>
              </w:rPr>
            </w:pPr>
          </w:p>
          <w:p>
            <w:pPr>
              <w:spacing w:line="280" w:lineRule="exact"/>
              <w:ind w:firstLine="420" w:firstLineChars="200"/>
              <w:rPr>
                <w:rFonts w:hint="eastAsia" w:ascii="Times New Roman" w:hAnsi="Times New Roman" w:cs="Times New Roman"/>
                <w:szCs w:val="21"/>
                <w:lang w:val="en-US" w:eastAsia="zh-CN"/>
              </w:rPr>
            </w:pPr>
          </w:p>
          <w:p>
            <w:pPr>
              <w:spacing w:line="280" w:lineRule="exact"/>
              <w:ind w:firstLine="420" w:firstLineChars="200"/>
              <w:rPr>
                <w:rFonts w:hint="eastAsia" w:ascii="Times New Roman" w:hAnsi="Times New Roman" w:cs="Times New Roman"/>
                <w:szCs w:val="21"/>
                <w:lang w:val="en-US" w:eastAsia="zh-CN"/>
              </w:rPr>
            </w:pPr>
          </w:p>
          <w:p>
            <w:pPr>
              <w:spacing w:line="280" w:lineRule="exact"/>
              <w:ind w:firstLine="420" w:firstLineChars="200"/>
              <w:rPr>
                <w:rFonts w:hint="eastAsia" w:ascii="Times New Roman" w:hAnsi="Times New Roman" w:cs="Times New Roman"/>
                <w:szCs w:val="21"/>
                <w:lang w:val="en-US" w:eastAsia="zh-CN"/>
              </w:rPr>
            </w:pPr>
          </w:p>
          <w:p>
            <w:pPr>
              <w:spacing w:line="280" w:lineRule="exact"/>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E8.1</w:t>
            </w:r>
          </w:p>
          <w:p>
            <w:pPr>
              <w:spacing w:line="280" w:lineRule="exact"/>
              <w:ind w:firstLine="420" w:firstLineChars="200"/>
              <w:rPr>
                <w:rFonts w:hint="eastAsia" w:ascii="Times New Roman" w:hAnsi="Times New Roman" w:cs="Times New Roman"/>
                <w:szCs w:val="21"/>
                <w:lang w:val="en-US" w:eastAsia="zh-CN"/>
              </w:rPr>
            </w:pPr>
          </w:p>
          <w:p>
            <w:pPr>
              <w:spacing w:line="280" w:lineRule="exact"/>
              <w:ind w:firstLine="420" w:firstLineChars="200"/>
              <w:rPr>
                <w:rFonts w:hint="eastAsia" w:ascii="Times New Roman" w:hAnsi="Times New Roman" w:cs="Times New Roman"/>
                <w:szCs w:val="21"/>
                <w:lang w:val="en-US" w:eastAsia="zh-CN"/>
              </w:rPr>
            </w:pPr>
          </w:p>
          <w:p>
            <w:pPr>
              <w:spacing w:line="280" w:lineRule="exact"/>
              <w:ind w:firstLine="420" w:firstLineChars="200"/>
              <w:rPr>
                <w:rFonts w:hint="eastAsia" w:ascii="Times New Roman" w:hAnsi="Times New Roman" w:cs="Times New Roman"/>
                <w:szCs w:val="21"/>
                <w:lang w:val="en-US" w:eastAsia="zh-CN"/>
              </w:rPr>
            </w:pPr>
          </w:p>
          <w:p>
            <w:pPr>
              <w:spacing w:line="280" w:lineRule="exact"/>
              <w:ind w:firstLine="420" w:firstLineChars="200"/>
              <w:rPr>
                <w:rFonts w:hint="eastAsia" w:ascii="Times New Roman" w:hAnsi="Times New Roman" w:cs="Times New Roman"/>
                <w:szCs w:val="21"/>
                <w:lang w:val="en-US" w:eastAsia="zh-CN"/>
              </w:rPr>
            </w:pPr>
          </w:p>
        </w:tc>
        <w:tc>
          <w:tcPr>
            <w:tcW w:w="10004" w:type="dxa"/>
            <w:vAlign w:val="center"/>
          </w:tcPr>
          <w:p>
            <w:pPr>
              <w:spacing w:line="28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查《管理手册》中明确了“外部提供过程、产品和服务”方面的要求。</w:t>
            </w:r>
          </w:p>
          <w:p>
            <w:pPr>
              <w:spacing w:line="28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查有《采购管理控制程序》</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供方绩效准则</w:t>
            </w:r>
            <w:r>
              <w:rPr>
                <w:rFonts w:hint="eastAsia" w:ascii="Times New Roman" w:hAnsi="Times New Roman" w:cs="Times New Roman"/>
                <w:szCs w:val="21"/>
                <w:lang w:eastAsia="zh-CN"/>
              </w:rPr>
              <w:t>》</w:t>
            </w:r>
            <w:r>
              <w:rPr>
                <w:rFonts w:hint="eastAsia" w:ascii="Times New Roman" w:hAnsi="Times New Roman" w:cs="Times New Roman"/>
                <w:szCs w:val="21"/>
              </w:rPr>
              <w:t>；</w:t>
            </w:r>
          </w:p>
          <w:p>
            <w:pPr>
              <w:spacing w:line="28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负责人介绍：主要负责生产原料采购</w:t>
            </w:r>
            <w:r>
              <w:rPr>
                <w:rFonts w:hint="eastAsia" w:ascii="Times New Roman" w:hAnsi="Times New Roman" w:cs="Times New Roman"/>
                <w:szCs w:val="21"/>
                <w:lang w:val="en-US" w:eastAsia="zh-CN"/>
              </w:rPr>
              <w:t>及供应商</w:t>
            </w:r>
            <w:r>
              <w:rPr>
                <w:rFonts w:hint="eastAsia" w:ascii="Times New Roman" w:hAnsi="Times New Roman" w:cs="Times New Roman"/>
                <w:szCs w:val="21"/>
              </w:rPr>
              <w:t>的评审。</w:t>
            </w:r>
          </w:p>
          <w:p>
            <w:pPr>
              <w:spacing w:line="28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供销部能对外部供方提供所要求的过程、产品或服务的能力，确定了外部供方的评价、选择、绩效监视评价的准则，并加以实施。主要用品：</w:t>
            </w:r>
            <w:r>
              <w:rPr>
                <w:rFonts w:hint="eastAsia" w:ascii="Times New Roman" w:hAnsi="Times New Roman" w:cs="Times New Roman"/>
                <w:szCs w:val="21"/>
                <w:lang w:val="en-US" w:eastAsia="zh-CN"/>
              </w:rPr>
              <w:t>重组竹地板坯板、涂料油漆、双氧水</w:t>
            </w:r>
            <w:r>
              <w:rPr>
                <w:rFonts w:hint="eastAsia" w:ascii="Times New Roman" w:hAnsi="Times New Roman" w:cs="Times New Roman"/>
                <w:szCs w:val="21"/>
              </w:rPr>
              <w:t>等</w:t>
            </w:r>
          </w:p>
          <w:p>
            <w:pPr>
              <w:spacing w:line="28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查供方均有供方调查表、供方调查评价及收集相关资料。</w:t>
            </w:r>
          </w:p>
          <w:p>
            <w:pPr>
              <w:spacing w:line="28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提供了：供方调查评价表</w:t>
            </w:r>
          </w:p>
          <w:p>
            <w:pPr>
              <w:spacing w:line="28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内容有：供方名称、供应产品、评价内容</w:t>
            </w:r>
          </w:p>
          <w:p>
            <w:pPr>
              <w:spacing w:line="28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提供了“合格供方名录”，内容有：序号、供方名称、供应产品名称、电话地扯等，共列入合格供方</w:t>
            </w:r>
            <w:r>
              <w:rPr>
                <w:rFonts w:hint="eastAsia" w:ascii="Times New Roman" w:hAnsi="Times New Roman" w:cs="Times New Roman"/>
                <w:szCs w:val="21"/>
                <w:lang w:val="en-US" w:eastAsia="zh-CN"/>
              </w:rPr>
              <w:t>9</w:t>
            </w:r>
            <w:r>
              <w:rPr>
                <w:rFonts w:hint="eastAsia" w:ascii="Times New Roman" w:hAnsi="Times New Roman" w:cs="Times New Roman"/>
                <w:szCs w:val="21"/>
              </w:rPr>
              <w:t>家。</w:t>
            </w:r>
          </w:p>
          <w:p>
            <w:pPr>
              <w:spacing w:line="28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查供方调查、业绩评定，主要</w:t>
            </w:r>
            <w:r>
              <w:rPr>
                <w:rFonts w:hint="eastAsia" w:ascii="Times New Roman" w:hAnsi="Times New Roman" w:cs="Times New Roman"/>
                <w:szCs w:val="21"/>
                <w:lang w:val="en-US" w:eastAsia="zh-CN"/>
              </w:rPr>
              <w:t>砂带、双氧水、油漆、竹板坯</w:t>
            </w:r>
            <w:r>
              <w:rPr>
                <w:rFonts w:hint="eastAsia" w:ascii="Times New Roman" w:hAnsi="Times New Roman" w:cs="Times New Roman"/>
                <w:szCs w:val="21"/>
              </w:rPr>
              <w:t>及</w:t>
            </w:r>
            <w:r>
              <w:rPr>
                <w:rFonts w:hint="eastAsia" w:ascii="Times New Roman" w:hAnsi="Times New Roman" w:cs="Times New Roman"/>
                <w:szCs w:val="21"/>
                <w:lang w:val="en-US" w:eastAsia="zh-CN"/>
              </w:rPr>
              <w:t>五金配件</w:t>
            </w:r>
            <w:r>
              <w:rPr>
                <w:rFonts w:hint="eastAsia" w:ascii="Times New Roman" w:hAnsi="Times New Roman" w:cs="Times New Roman"/>
                <w:szCs w:val="21"/>
              </w:rPr>
              <w:t>， 基本按采购相关文件进行。</w:t>
            </w:r>
          </w:p>
          <w:p>
            <w:pPr>
              <w:spacing w:line="28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采购程序或流程、采购过程绩效指标等基本明确，</w:t>
            </w:r>
          </w:p>
          <w:p>
            <w:pPr>
              <w:spacing w:line="28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与采购的评价情况抽查如下：</w:t>
            </w:r>
          </w:p>
          <w:p>
            <w:pPr>
              <w:spacing w:line="28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提供</w:t>
            </w:r>
            <w:r>
              <w:rPr>
                <w:rFonts w:hint="eastAsia" w:ascii="Times New Roman" w:hAnsi="Times New Roman" w:cs="Times New Roman"/>
                <w:szCs w:val="21"/>
                <w:lang w:val="en-US" w:eastAsia="zh-CN"/>
              </w:rPr>
              <w:t>双氧水</w:t>
            </w:r>
            <w:r>
              <w:rPr>
                <w:rFonts w:hint="eastAsia" w:ascii="Times New Roman" w:hAnsi="Times New Roman" w:cs="Times New Roman"/>
                <w:szCs w:val="21"/>
              </w:rPr>
              <w:t>：</w:t>
            </w:r>
            <w:r>
              <w:rPr>
                <w:rFonts w:hint="eastAsia" w:ascii="Times New Roman" w:hAnsi="Times New Roman" w:cs="Times New Roman"/>
                <w:szCs w:val="21"/>
                <w:lang w:val="en-US" w:eastAsia="zh-CN"/>
              </w:rPr>
              <w:t>安吉县顺河贸易有限公司</w:t>
            </w:r>
            <w:r>
              <w:rPr>
                <w:rFonts w:hint="eastAsia" w:ascii="Times New Roman" w:hAnsi="Times New Roman" w:cs="Times New Roman"/>
                <w:szCs w:val="21"/>
              </w:rPr>
              <w:t>，提供评价表，</w:t>
            </w:r>
            <w:r>
              <w:rPr>
                <w:rFonts w:hint="eastAsia" w:ascii="Times New Roman" w:hAnsi="Times New Roman" w:cs="Times New Roman"/>
                <w:szCs w:val="21"/>
                <w:lang w:val="en-US" w:eastAsia="zh-CN"/>
              </w:rPr>
              <w:t>未提供</w:t>
            </w:r>
            <w:r>
              <w:rPr>
                <w:rFonts w:hint="eastAsia" w:ascii="Times New Roman" w:hAnsi="Times New Roman" w:cs="Times New Roman"/>
                <w:szCs w:val="21"/>
              </w:rPr>
              <w:t>营业执照</w:t>
            </w:r>
            <w:r>
              <w:rPr>
                <w:rFonts w:hint="eastAsia" w:ascii="Times New Roman" w:hAnsi="Times New Roman" w:cs="Times New Roman"/>
                <w:szCs w:val="21"/>
                <w:lang w:eastAsia="zh-CN"/>
              </w:rPr>
              <w:t>、</w:t>
            </w:r>
            <w:r>
              <w:rPr>
                <w:rFonts w:hint="eastAsia" w:ascii="Times New Roman" w:hAnsi="Times New Roman" w:cs="Times New Roman"/>
                <w:szCs w:val="21"/>
              </w:rPr>
              <w:t>产品质量检验报告等信息</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提供的协议未明确提出包装桶回收等要求,但负责人介绍包装桶由供应商回购，不符合危险废物管理要求</w:t>
            </w:r>
            <w:r>
              <w:rPr>
                <w:rFonts w:hint="eastAsia" w:ascii="Times New Roman" w:hAnsi="Times New Roman" w:cs="Times New Roman"/>
                <w:szCs w:val="21"/>
              </w:rPr>
              <w:t xml:space="preserve">。 </w:t>
            </w:r>
          </w:p>
          <w:p>
            <w:pPr>
              <w:spacing w:line="28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提供</w:t>
            </w:r>
            <w:r>
              <w:rPr>
                <w:rFonts w:hint="eastAsia" w:ascii="Times New Roman" w:hAnsi="Times New Roman" w:cs="Times New Roman"/>
                <w:szCs w:val="21"/>
                <w:lang w:val="en-US" w:eastAsia="zh-CN"/>
              </w:rPr>
              <w:t>竹板坯</w:t>
            </w:r>
            <w:r>
              <w:rPr>
                <w:rFonts w:hint="eastAsia" w:ascii="Times New Roman" w:hAnsi="Times New Roman" w:cs="Times New Roman"/>
                <w:szCs w:val="21"/>
              </w:rPr>
              <w:t>：</w:t>
            </w:r>
            <w:r>
              <w:rPr>
                <w:rFonts w:hint="eastAsia" w:ascii="Times New Roman" w:hAnsi="Times New Roman" w:cs="Times New Roman"/>
                <w:szCs w:val="21"/>
                <w:lang w:val="en-US" w:eastAsia="zh-CN"/>
              </w:rPr>
              <w:t>宜兴市大鹏竹木业有限公司</w:t>
            </w:r>
            <w:r>
              <w:rPr>
                <w:rFonts w:hint="eastAsia" w:ascii="Times New Roman" w:hAnsi="Times New Roman" w:cs="Times New Roman"/>
                <w:szCs w:val="21"/>
              </w:rPr>
              <w:t>，提供评价表，</w:t>
            </w:r>
            <w:r>
              <w:rPr>
                <w:rFonts w:hint="eastAsia" w:ascii="Times New Roman" w:hAnsi="Times New Roman" w:cs="Times New Roman"/>
                <w:szCs w:val="21"/>
                <w:lang w:val="en-US" w:eastAsia="zh-CN"/>
              </w:rPr>
              <w:t>未提供有关产品质量信息的评价附件</w:t>
            </w:r>
            <w:r>
              <w:rPr>
                <w:rFonts w:hint="eastAsia" w:ascii="Times New Roman" w:hAnsi="Times New Roman" w:cs="Times New Roman"/>
                <w:szCs w:val="21"/>
              </w:rPr>
              <w:t>信息。</w:t>
            </w:r>
          </w:p>
          <w:p>
            <w:pPr>
              <w:spacing w:line="280" w:lineRule="exact"/>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rPr>
              <w:t>提供</w:t>
            </w:r>
            <w:r>
              <w:rPr>
                <w:rFonts w:hint="eastAsia" w:ascii="Times New Roman" w:hAnsi="Times New Roman" w:cs="Times New Roman"/>
                <w:szCs w:val="21"/>
                <w:lang w:val="en-US" w:eastAsia="zh-CN"/>
              </w:rPr>
              <w:t>油漆</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湖南邦弗特新材料技术有限公司</w:t>
            </w:r>
            <w:r>
              <w:rPr>
                <w:rFonts w:hint="eastAsia" w:ascii="Times New Roman" w:hAnsi="Times New Roman" w:cs="Times New Roman"/>
                <w:szCs w:val="21"/>
              </w:rPr>
              <w:t>，提供评价表，</w:t>
            </w:r>
            <w:r>
              <w:rPr>
                <w:rFonts w:hint="eastAsia" w:ascii="Times New Roman" w:hAnsi="Times New Roman" w:cs="Times New Roman"/>
                <w:szCs w:val="21"/>
                <w:lang w:val="en-US" w:eastAsia="zh-CN"/>
              </w:rPr>
              <w:t>情况同上。</w:t>
            </w:r>
          </w:p>
          <w:p>
            <w:pPr>
              <w:spacing w:line="28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负责人介绍，主要一些供应商参与公司新产品研发，多年合作，对提供的原材料产品质量都比较信任，对此把关不够。</w:t>
            </w:r>
          </w:p>
          <w:p>
            <w:pPr>
              <w:spacing w:line="280" w:lineRule="exact"/>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rPr>
              <w:t>外部供方的验证详见质检部的审核记录。</w:t>
            </w:r>
          </w:p>
        </w:tc>
        <w:tc>
          <w:tcPr>
            <w:tcW w:w="1585" w:type="dxa"/>
          </w:tcPr>
          <w:p>
            <w:pPr>
              <w:spacing w:line="280" w:lineRule="exact"/>
              <w:ind w:firstLine="420" w:firstLineChars="200"/>
              <w:rPr>
                <w:rFonts w:hint="eastAsia"/>
              </w:rPr>
            </w:pPr>
          </w:p>
          <w:p>
            <w:pPr>
              <w:spacing w:line="280" w:lineRule="exact"/>
              <w:ind w:firstLine="420" w:firstLineChars="200"/>
              <w:rPr>
                <w:rFonts w:hint="eastAsia"/>
              </w:rPr>
            </w:pPr>
          </w:p>
          <w:p>
            <w:pPr>
              <w:spacing w:line="280" w:lineRule="exact"/>
              <w:ind w:firstLine="420" w:firstLineChars="200"/>
              <w:rPr>
                <w:rFonts w:hint="eastAsia"/>
              </w:rPr>
            </w:pPr>
          </w:p>
          <w:p>
            <w:pPr>
              <w:spacing w:line="280" w:lineRule="exact"/>
              <w:ind w:firstLine="420" w:firstLineChars="200"/>
              <w:rPr>
                <w:rFonts w:hint="eastAsia"/>
              </w:rPr>
            </w:pPr>
          </w:p>
          <w:p>
            <w:pPr>
              <w:spacing w:line="280" w:lineRule="exact"/>
              <w:ind w:firstLine="420" w:firstLineChars="200"/>
              <w:rPr>
                <w:rFonts w:hint="eastAsia"/>
              </w:rPr>
            </w:pPr>
          </w:p>
          <w:p>
            <w:pPr>
              <w:spacing w:line="280" w:lineRule="exact"/>
              <w:ind w:firstLine="420" w:firstLineChars="200"/>
              <w:rPr>
                <w:rFonts w:hint="eastAsia"/>
              </w:rPr>
            </w:pPr>
          </w:p>
          <w:p>
            <w:pPr>
              <w:spacing w:line="280" w:lineRule="exact"/>
              <w:ind w:firstLine="420" w:firstLineChars="200"/>
              <w:rPr>
                <w:rFonts w:hint="eastAsia"/>
              </w:rPr>
            </w:pPr>
          </w:p>
          <w:p>
            <w:pPr>
              <w:spacing w:line="280" w:lineRule="exact"/>
              <w:ind w:firstLine="420" w:firstLineChars="200"/>
              <w:rPr>
                <w:rFonts w:hint="eastAsia"/>
              </w:rPr>
            </w:pPr>
          </w:p>
          <w:p>
            <w:pPr>
              <w:spacing w:line="280" w:lineRule="exact"/>
              <w:ind w:firstLine="420" w:firstLineChars="200"/>
              <w:rPr>
                <w:rFonts w:hint="eastAsia"/>
              </w:rPr>
            </w:pPr>
          </w:p>
          <w:p>
            <w:pPr>
              <w:spacing w:line="280" w:lineRule="exact"/>
              <w:ind w:firstLine="420" w:firstLineChars="200"/>
              <w:rPr>
                <w:rFonts w:hint="eastAsia"/>
              </w:rPr>
            </w:pPr>
          </w:p>
          <w:p>
            <w:pPr>
              <w:pStyle w:val="2"/>
              <w:numPr>
                <w:ilvl w:val="0"/>
                <w:numId w:val="0"/>
              </w:numPr>
              <w:ind w:leftChars="0"/>
              <w:rPr>
                <w:rFonts w:hint="eastAsia"/>
              </w:rPr>
            </w:pPr>
          </w:p>
          <w:p>
            <w:pPr>
              <w:rPr>
                <w:rFonts w:hint="eastAsia"/>
              </w:rPr>
            </w:pPr>
          </w:p>
          <w:p>
            <w:pPr>
              <w:pStyle w:val="2"/>
              <w:numPr>
                <w:ilvl w:val="0"/>
                <w:numId w:val="0"/>
              </w:numPr>
              <w:ind w:leftChars="0"/>
              <w:rPr>
                <w:rFonts w:hint="default"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22" w:type="dxa"/>
            <w:vAlign w:val="top"/>
          </w:tcPr>
          <w:p>
            <w:pPr>
              <w:spacing w:line="280" w:lineRule="exact"/>
              <w:rPr>
                <w:rFonts w:hint="default" w:ascii="Times New Roman" w:hAnsi="Times New Roman" w:eastAsia="宋体" w:cs="Times New Roman"/>
                <w:szCs w:val="21"/>
                <w:lang w:val="en-US" w:eastAsia="zh-CN"/>
              </w:rPr>
            </w:pPr>
            <w:r>
              <w:rPr>
                <w:rFonts w:hint="eastAsia" w:cs="Times New Roman"/>
                <w:szCs w:val="21"/>
                <w:lang w:val="en-US" w:eastAsia="zh-CN"/>
              </w:rPr>
              <w:t>交付后的活动</w:t>
            </w:r>
          </w:p>
        </w:tc>
        <w:tc>
          <w:tcPr>
            <w:tcW w:w="998" w:type="dxa"/>
            <w:vAlign w:val="top"/>
          </w:tcPr>
          <w:p>
            <w:pPr>
              <w:spacing w:line="280" w:lineRule="exact"/>
              <w:rPr>
                <w:rFonts w:hint="default" w:ascii="Times New Roman" w:hAnsi="Times New Roman" w:cs="Times New Roman"/>
                <w:szCs w:val="21"/>
                <w:lang w:val="en-US" w:eastAsia="zh-CN"/>
              </w:rPr>
            </w:pPr>
            <w:r>
              <w:rPr>
                <w:rFonts w:hint="eastAsia" w:cs="Times New Roman"/>
                <w:szCs w:val="21"/>
                <w:lang w:val="en-US" w:eastAsia="zh-CN"/>
              </w:rPr>
              <w:t>Q8.5.5</w:t>
            </w:r>
          </w:p>
        </w:tc>
        <w:tc>
          <w:tcPr>
            <w:tcW w:w="10004" w:type="dxa"/>
            <w:vAlign w:val="center"/>
          </w:tcPr>
          <w:p>
            <w:pPr>
              <w:spacing w:line="28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 xml:space="preserve"> </w:t>
            </w:r>
            <w:bookmarkStart w:id="1" w:name="_GoBack"/>
            <w:bookmarkEnd w:id="1"/>
            <w:r>
              <w:rPr>
                <w:rFonts w:hint="eastAsia" w:ascii="Times New Roman" w:hAnsi="Times New Roman" w:cs="Times New Roman"/>
                <w:szCs w:val="21"/>
              </w:rPr>
              <w:t>产品交付时，对客户销售人员进行使用培训，内容涉及竹地板的样板册和介绍等。如客户在使用过程中出现问题，先通过电话进行解决，如远程无法解决，派专人到客户现场实地解决。</w:t>
            </w:r>
          </w:p>
        </w:tc>
        <w:tc>
          <w:tcPr>
            <w:tcW w:w="1585" w:type="dxa"/>
          </w:tcPr>
          <w:p>
            <w:pPr>
              <w:pStyle w:val="2"/>
              <w:numPr>
                <w:ilvl w:val="0"/>
                <w:numId w:val="0"/>
              </w:numPr>
              <w:ind w:leftChars="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2122" w:type="dxa"/>
          </w:tcPr>
          <w:p>
            <w:pPr>
              <w:adjustRightInd w:val="0"/>
              <w:snapToGrid w:val="0"/>
              <w:spacing w:line="320" w:lineRule="exact"/>
              <w:ind w:right="105" w:rightChars="50"/>
              <w:textAlignment w:val="baseline"/>
              <w:rPr>
                <w:rFonts w:ascii="宋体" w:hAnsi="宋体" w:cs="Arial"/>
                <w:szCs w:val="21"/>
              </w:rPr>
            </w:pPr>
            <w:r>
              <w:rPr>
                <w:rFonts w:hint="eastAsia" w:ascii="宋体" w:hAnsi="宋体" w:cs="Arial"/>
                <w:szCs w:val="21"/>
              </w:rPr>
              <w:t>顾客满意</w:t>
            </w:r>
          </w:p>
        </w:tc>
        <w:tc>
          <w:tcPr>
            <w:tcW w:w="998" w:type="dxa"/>
          </w:tcPr>
          <w:p>
            <w:pPr>
              <w:spacing w:line="280" w:lineRule="exact"/>
              <w:rPr>
                <w:rFonts w:ascii="宋体" w:hAnsi="宋体" w:cs="宋体"/>
                <w:color w:val="000000"/>
                <w:kern w:val="0"/>
                <w:szCs w:val="21"/>
              </w:rPr>
            </w:pPr>
            <w:r>
              <w:rPr>
                <w:rFonts w:hint="eastAsia" w:ascii="宋体" w:hAnsi="宋体" w:cs="Arial"/>
                <w:szCs w:val="21"/>
                <w:lang w:val="en-US" w:eastAsia="zh-CN"/>
              </w:rPr>
              <w:t>Q</w:t>
            </w:r>
            <w:r>
              <w:rPr>
                <w:rFonts w:hint="eastAsia" w:ascii="宋体" w:hAnsi="宋体" w:cs="Arial"/>
                <w:szCs w:val="21"/>
              </w:rPr>
              <w:t>9.1.2</w:t>
            </w:r>
          </w:p>
        </w:tc>
        <w:tc>
          <w:tcPr>
            <w:tcW w:w="10004" w:type="dxa"/>
          </w:tcPr>
          <w:p>
            <w:pPr>
              <w:spacing w:line="280" w:lineRule="exact"/>
              <w:ind w:firstLine="420" w:firstLineChars="200"/>
              <w:rPr>
                <w:color w:val="000000"/>
                <w:szCs w:val="21"/>
              </w:rPr>
            </w:pPr>
            <w:r>
              <w:rPr>
                <w:rFonts w:hint="eastAsia"/>
                <w:color w:val="000000"/>
                <w:szCs w:val="21"/>
              </w:rPr>
              <w:t>公司已建立和保持了《顾客满意度监测管理程序》，对顾客满意的监测的相关内容进行了规定，其包括了对调查信息来源、信息收集、信息分析等。</w:t>
            </w:r>
          </w:p>
          <w:p>
            <w:pPr>
              <w:spacing w:line="280" w:lineRule="exact"/>
              <w:ind w:firstLine="420" w:firstLineChars="200"/>
              <w:rPr>
                <w:color w:val="000000"/>
                <w:szCs w:val="21"/>
              </w:rPr>
            </w:pPr>
            <w:r>
              <w:rPr>
                <w:rFonts w:hint="eastAsia"/>
                <w:color w:val="000000"/>
                <w:szCs w:val="21"/>
              </w:rPr>
              <w:t>公司于内审前采取对主要顾客进行满意度调查的形式，共发出</w:t>
            </w:r>
            <w:r>
              <w:rPr>
                <w:color w:val="000000"/>
                <w:szCs w:val="21"/>
              </w:rPr>
              <w:t>18</w:t>
            </w:r>
            <w:r>
              <w:rPr>
                <w:rFonts w:hint="eastAsia"/>
                <w:color w:val="000000"/>
                <w:szCs w:val="21"/>
              </w:rPr>
              <w:t>份《顾客满意度/意见调查征询表》，有效回收：</w:t>
            </w:r>
          </w:p>
          <w:p>
            <w:pPr>
              <w:spacing w:line="280" w:lineRule="exact"/>
              <w:ind w:firstLine="420" w:firstLineChars="200"/>
              <w:rPr>
                <w:color w:val="000000"/>
                <w:szCs w:val="21"/>
              </w:rPr>
            </w:pPr>
            <w:r>
              <w:rPr>
                <w:rFonts w:hint="eastAsia"/>
                <w:color w:val="000000"/>
                <w:szCs w:val="21"/>
              </w:rPr>
              <w:t>浙江海滨建设集团有限公司、浙江中富集团建筑股份有限公司、浙江国越建设有限公司等</w:t>
            </w:r>
            <w:r>
              <w:rPr>
                <w:color w:val="000000"/>
                <w:szCs w:val="21"/>
              </w:rPr>
              <w:t>18</w:t>
            </w:r>
            <w:r>
              <w:rPr>
                <w:rFonts w:hint="eastAsia"/>
                <w:color w:val="000000"/>
                <w:szCs w:val="21"/>
              </w:rPr>
              <w:t>家，回收率100%。</w:t>
            </w:r>
          </w:p>
          <w:p>
            <w:pPr>
              <w:spacing w:line="280" w:lineRule="exact"/>
              <w:ind w:firstLine="420" w:firstLineChars="200"/>
              <w:rPr>
                <w:color w:val="000000"/>
                <w:szCs w:val="21"/>
              </w:rPr>
            </w:pPr>
            <w:r>
              <w:rPr>
                <w:rFonts w:hint="eastAsia"/>
                <w:color w:val="000000"/>
                <w:szCs w:val="21"/>
              </w:rPr>
              <w:t>调查内容有：产品满意程度、服务满意程度等，查阅《顾客满意度/意见调查征询表》。</w:t>
            </w:r>
          </w:p>
          <w:p>
            <w:pPr>
              <w:spacing w:line="280" w:lineRule="exact"/>
              <w:ind w:firstLine="420" w:firstLineChars="200"/>
              <w:rPr>
                <w:color w:val="000000"/>
                <w:szCs w:val="21"/>
              </w:rPr>
            </w:pPr>
            <w:r>
              <w:rPr>
                <w:rFonts w:hint="eastAsia"/>
                <w:color w:val="000000"/>
                <w:szCs w:val="21"/>
              </w:rPr>
              <w:t>对每一调查内容按百分制统计和计算。</w:t>
            </w:r>
          </w:p>
          <w:p>
            <w:pPr>
              <w:spacing w:line="280" w:lineRule="exact"/>
              <w:ind w:firstLine="420" w:firstLineChars="200"/>
              <w:rPr>
                <w:color w:val="000000"/>
                <w:szCs w:val="21"/>
              </w:rPr>
            </w:pPr>
            <w:r>
              <w:rPr>
                <w:rFonts w:hint="eastAsia"/>
                <w:color w:val="000000"/>
                <w:szCs w:val="21"/>
              </w:rPr>
              <w:t>查《顾客满意度/意见调查征询表》，记录真实有效。</w:t>
            </w:r>
          </w:p>
          <w:p>
            <w:pPr>
              <w:spacing w:line="280" w:lineRule="exact"/>
              <w:ind w:firstLine="420" w:firstLineChars="200"/>
              <w:rPr>
                <w:color w:val="000000"/>
                <w:szCs w:val="21"/>
              </w:rPr>
            </w:pPr>
            <w:r>
              <w:rPr>
                <w:rFonts w:hint="eastAsia"/>
                <w:color w:val="000000"/>
                <w:szCs w:val="21"/>
              </w:rPr>
              <w:t>提供《顾客满意率统计表》，顾客满意率达到96%，达到了质量目标的要求。</w:t>
            </w:r>
          </w:p>
          <w:p>
            <w:pPr>
              <w:spacing w:line="280" w:lineRule="exact"/>
              <w:ind w:firstLine="420" w:firstLineChars="200"/>
              <w:rPr>
                <w:color w:val="000000"/>
                <w:szCs w:val="21"/>
              </w:rPr>
            </w:pPr>
            <w:r>
              <w:rPr>
                <w:rFonts w:hint="eastAsia"/>
                <w:color w:val="000000"/>
                <w:szCs w:val="21"/>
              </w:rPr>
              <w:t>调查未发现有顾客投诉。</w:t>
            </w:r>
          </w:p>
        </w:tc>
        <w:tc>
          <w:tcPr>
            <w:tcW w:w="1585" w:type="dxa"/>
          </w:tcP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Internatinal Standard united Certificatin C.,Ltd.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02D1B"/>
    <w:multiLevelType w:val="multilevel"/>
    <w:tmpl w:val="59F02D1B"/>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6A83"/>
    <w:rsid w:val="00011A1F"/>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E48ED"/>
    <w:rsid w:val="001F0E7B"/>
    <w:rsid w:val="002533F4"/>
    <w:rsid w:val="00271E4E"/>
    <w:rsid w:val="00273847"/>
    <w:rsid w:val="002871F4"/>
    <w:rsid w:val="00287457"/>
    <w:rsid w:val="002B36EC"/>
    <w:rsid w:val="002C22A6"/>
    <w:rsid w:val="002C734F"/>
    <w:rsid w:val="002E29A0"/>
    <w:rsid w:val="002E55EA"/>
    <w:rsid w:val="002F05BD"/>
    <w:rsid w:val="003015FB"/>
    <w:rsid w:val="003273C2"/>
    <w:rsid w:val="003445A0"/>
    <w:rsid w:val="003541E0"/>
    <w:rsid w:val="00364D71"/>
    <w:rsid w:val="00382525"/>
    <w:rsid w:val="00384FEF"/>
    <w:rsid w:val="00397D3F"/>
    <w:rsid w:val="003C12BB"/>
    <w:rsid w:val="003C254E"/>
    <w:rsid w:val="003E434A"/>
    <w:rsid w:val="0042030E"/>
    <w:rsid w:val="0043712F"/>
    <w:rsid w:val="004450A7"/>
    <w:rsid w:val="0047490C"/>
    <w:rsid w:val="004819AB"/>
    <w:rsid w:val="00497971"/>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1EE9"/>
    <w:rsid w:val="005D2531"/>
    <w:rsid w:val="00621EA2"/>
    <w:rsid w:val="006256EF"/>
    <w:rsid w:val="00646303"/>
    <w:rsid w:val="0066353B"/>
    <w:rsid w:val="00663A52"/>
    <w:rsid w:val="00672093"/>
    <w:rsid w:val="00672CC5"/>
    <w:rsid w:val="00680222"/>
    <w:rsid w:val="006842EC"/>
    <w:rsid w:val="006E4E1C"/>
    <w:rsid w:val="006F2650"/>
    <w:rsid w:val="006F2C8A"/>
    <w:rsid w:val="00713961"/>
    <w:rsid w:val="00715292"/>
    <w:rsid w:val="007469D5"/>
    <w:rsid w:val="0075560B"/>
    <w:rsid w:val="00756C63"/>
    <w:rsid w:val="00761387"/>
    <w:rsid w:val="00774749"/>
    <w:rsid w:val="00777827"/>
    <w:rsid w:val="007861D2"/>
    <w:rsid w:val="007B4035"/>
    <w:rsid w:val="007B4E33"/>
    <w:rsid w:val="007C5A7D"/>
    <w:rsid w:val="007C6A31"/>
    <w:rsid w:val="007E6050"/>
    <w:rsid w:val="00814B16"/>
    <w:rsid w:val="008242EA"/>
    <w:rsid w:val="008265BB"/>
    <w:rsid w:val="00834CE8"/>
    <w:rsid w:val="0085042B"/>
    <w:rsid w:val="008631F9"/>
    <w:rsid w:val="008667F0"/>
    <w:rsid w:val="008A1509"/>
    <w:rsid w:val="008B3B2F"/>
    <w:rsid w:val="008C01A2"/>
    <w:rsid w:val="008D2E87"/>
    <w:rsid w:val="008D3475"/>
    <w:rsid w:val="00915119"/>
    <w:rsid w:val="0092791F"/>
    <w:rsid w:val="00954D65"/>
    <w:rsid w:val="00955C0E"/>
    <w:rsid w:val="00976860"/>
    <w:rsid w:val="00991AEB"/>
    <w:rsid w:val="009977CF"/>
    <w:rsid w:val="009B1072"/>
    <w:rsid w:val="00A01526"/>
    <w:rsid w:val="00A30F85"/>
    <w:rsid w:val="00A52229"/>
    <w:rsid w:val="00A76F84"/>
    <w:rsid w:val="00A86196"/>
    <w:rsid w:val="00A94706"/>
    <w:rsid w:val="00AB5CFD"/>
    <w:rsid w:val="00AE6698"/>
    <w:rsid w:val="00B007F3"/>
    <w:rsid w:val="00B03AA7"/>
    <w:rsid w:val="00B119B7"/>
    <w:rsid w:val="00B361C1"/>
    <w:rsid w:val="00B531A8"/>
    <w:rsid w:val="00B53B05"/>
    <w:rsid w:val="00B6507C"/>
    <w:rsid w:val="00BC0A8A"/>
    <w:rsid w:val="00C277AC"/>
    <w:rsid w:val="00C41F32"/>
    <w:rsid w:val="00C4272D"/>
    <w:rsid w:val="00C44388"/>
    <w:rsid w:val="00C53433"/>
    <w:rsid w:val="00C60EB8"/>
    <w:rsid w:val="00C827AA"/>
    <w:rsid w:val="00C856E9"/>
    <w:rsid w:val="00C94573"/>
    <w:rsid w:val="00CA1BE3"/>
    <w:rsid w:val="00CD1E5C"/>
    <w:rsid w:val="00CD4ED7"/>
    <w:rsid w:val="00CD58BC"/>
    <w:rsid w:val="00D05DB2"/>
    <w:rsid w:val="00D6037A"/>
    <w:rsid w:val="00D937E0"/>
    <w:rsid w:val="00DE1A2C"/>
    <w:rsid w:val="00DE2FCE"/>
    <w:rsid w:val="00DF19AB"/>
    <w:rsid w:val="00E0114F"/>
    <w:rsid w:val="00E11BD3"/>
    <w:rsid w:val="00E17655"/>
    <w:rsid w:val="00E219A3"/>
    <w:rsid w:val="00E41911"/>
    <w:rsid w:val="00E556FE"/>
    <w:rsid w:val="00E701A1"/>
    <w:rsid w:val="00E707CA"/>
    <w:rsid w:val="00E944DC"/>
    <w:rsid w:val="00E97654"/>
    <w:rsid w:val="00EA2EA2"/>
    <w:rsid w:val="00EB1A5C"/>
    <w:rsid w:val="00EB6AAC"/>
    <w:rsid w:val="00EC3C4C"/>
    <w:rsid w:val="00ED41DC"/>
    <w:rsid w:val="00EF78EA"/>
    <w:rsid w:val="00F000A1"/>
    <w:rsid w:val="00F01F3E"/>
    <w:rsid w:val="00F05246"/>
    <w:rsid w:val="00F058E6"/>
    <w:rsid w:val="00F11424"/>
    <w:rsid w:val="00F13731"/>
    <w:rsid w:val="00F43CC1"/>
    <w:rsid w:val="00F5455B"/>
    <w:rsid w:val="00F62C59"/>
    <w:rsid w:val="00FB5026"/>
    <w:rsid w:val="00FB6FAA"/>
    <w:rsid w:val="00FF0A51"/>
    <w:rsid w:val="00FF1D21"/>
    <w:rsid w:val="0A755CD1"/>
    <w:rsid w:val="11B844E6"/>
    <w:rsid w:val="17AA5B63"/>
    <w:rsid w:val="2C0E291C"/>
    <w:rsid w:val="41756FF7"/>
    <w:rsid w:val="4DED56EF"/>
    <w:rsid w:val="585A00D9"/>
    <w:rsid w:val="6F940BEF"/>
    <w:rsid w:val="747D06DB"/>
    <w:rsid w:val="7C3269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Char"/>
    <w:basedOn w:val="1"/>
    <w:uiPriority w:val="0"/>
    <w:rPr>
      <w:rFonts w:ascii="仿宋_GB2312" w:eastAsia="仿宋_GB2312"/>
      <w:b/>
      <w:sz w:val="32"/>
      <w:szCs w:val="32"/>
    </w:rPr>
  </w:style>
  <w:style w:type="paragraph" w:customStyle="1" w:styleId="13">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635</Words>
  <Characters>3621</Characters>
  <Lines>30</Lines>
  <Paragraphs>8</Paragraphs>
  <TotalTime>21</TotalTime>
  <ScaleCrop>false</ScaleCrop>
  <LinksUpToDate>false</LinksUpToDate>
  <CharactersWithSpaces>4248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wangxianhua</cp:lastModifiedBy>
  <dcterms:modified xsi:type="dcterms:W3CDTF">2021-10-29T14:24:36Z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17A7C3F0687743208851B8C1EA1F2908</vt:lpwstr>
  </property>
</Properties>
</file>