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3F180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3F180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F180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F1800" w:rsidRDefault="003A62C3" w:rsidP="00FA415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F1800" w:rsidRDefault="003A62C3" w:rsidP="00FA415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F1800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</w:p>
        </w:tc>
        <w:tc>
          <w:tcPr>
            <w:tcW w:w="1418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F180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杨春光（实习）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95630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3BD9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F60A1"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5941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F180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F1800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3F180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F1800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40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F1800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3F1800" w:rsidRDefault="00A842D0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2项，明确考核标准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8D0CD7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2021年1月</w:t>
            </w:r>
            <w:r w:rsidR="00EA290A" w:rsidRPr="003F1800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17135E" w:rsidRPr="003F1800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考核记录：目标、指标均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3F1800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1C6664" w:rsidRPr="003F1800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F1800" w:rsidRDefault="006666F9" w:rsidP="00FA415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06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F1800" w:rsidRDefault="009F0D8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岗位工作人员任职资格要求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F1800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，无特种作业人员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5213FF" w:rsidRPr="003F1800" w:rsidTr="00D52E26">
        <w:trPr>
          <w:trHeight w:val="1951"/>
        </w:trPr>
        <w:tc>
          <w:tcPr>
            <w:tcW w:w="1809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公司按手册中组织知识要求进行知识控制，公司确定运行过程所需的知识及管理要求；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外部来源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3F1800" w:rsidRDefault="00C27570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为获取更多必要的知识采用工作经验总结、意见的采集，行业领先者的最佳实践调查等。</w:t>
            </w:r>
          </w:p>
        </w:tc>
        <w:tc>
          <w:tcPr>
            <w:tcW w:w="1418" w:type="dxa"/>
          </w:tcPr>
          <w:p w:rsidR="005213FF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C21790">
        <w:trPr>
          <w:trHeight w:val="3569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F1800">
              <w:rPr>
                <w:rFonts w:ascii="楷体" w:eastAsia="楷体" w:hAnsi="楷体" w:cs="宋体" w:hint="eastAsia"/>
                <w:sz w:val="24"/>
                <w:szCs w:val="24"/>
              </w:rPr>
              <w:t>按各岗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位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任职资格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要求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,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对工作人员进行任职资格评价，最终确认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满足岗位能力要求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情况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年度培训计划，</w:t>
            </w:r>
            <w:r w:rsidR="00865E31" w:rsidRPr="007C5216">
              <w:rPr>
                <w:rFonts w:ascii="楷体" w:eastAsia="楷体" w:hAnsi="楷体" w:cs="Arial" w:hint="eastAsia"/>
                <w:sz w:val="24"/>
                <w:szCs w:val="24"/>
              </w:rPr>
              <w:t>批准：</w:t>
            </w:r>
            <w:r w:rsidR="000A013C" w:rsidRPr="007C5216">
              <w:rPr>
                <w:rFonts w:ascii="楷体" w:eastAsia="楷体" w:hAnsi="楷体" w:cs="Arial" w:hint="eastAsia"/>
                <w:sz w:val="24"/>
                <w:szCs w:val="24"/>
              </w:rPr>
              <w:t>崔春建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培训计划包括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ISO9001:2015标准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、设备管理制度、岗位操作要求、手册、内审、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质量管理误区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A274F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抽查《培训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表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》：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1）2021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培训题目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公司的质量环境安全方针、质量环境安全目标、各部门的分解目标。《质量环境安全手册》、《程序文件》、《作业文件》主要内容的讲解。结合公司的现状，讲解质量环境安全管理体系运行应注意的问题及相关记录的填写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崔云朋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，培训合格有效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2）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2021.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26351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内容为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设备管理制度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生产提供过程的控制办法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仓库管理办法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产品的监视和测量控制办法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崔云朋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通过提问考核，考核结果：合格，培训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0A0E5E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3）202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，参加人员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培训内容为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岗位操作要求,特殊岗位操作规范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安全生产管理要求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，设备操作要求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，通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过现场提问考核，考核结果均合格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2DC0" w:rsidRPr="003F1800" w:rsidRDefault="00124C1B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特殊工种：</w:t>
            </w:r>
            <w:r w:rsidR="00D52E26" w:rsidRPr="007C5216">
              <w:rPr>
                <w:rFonts w:ascii="楷体" w:eastAsia="楷体" w:hAnsi="楷体" w:cs="Arial" w:hint="eastAsia"/>
                <w:sz w:val="24"/>
                <w:szCs w:val="24"/>
              </w:rPr>
              <w:t>无。</w:t>
            </w:r>
          </w:p>
        </w:tc>
        <w:tc>
          <w:tcPr>
            <w:tcW w:w="1418" w:type="dxa"/>
          </w:tcPr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7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353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7.5.1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28403B">
        <w:trPr>
          <w:trHeight w:val="1101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3F1800" w:rsidRDefault="001D6B4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管理手册</w:t>
            </w:r>
            <w:proofErr w:type="gramStart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进行了具备修订，替换了修订页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2235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="00A704D7" w:rsidRPr="003F1800"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A704D7" w:rsidRPr="003F1800">
              <w:rPr>
                <w:rFonts w:ascii="楷体" w:eastAsia="楷体" w:hAnsi="楷体" w:cs="宋体" w:hint="eastAsia"/>
                <w:sz w:val="24"/>
                <w:szCs w:val="24"/>
              </w:rPr>
              <w:t>、《记录控制程序》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提供受控文件清单（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手册、程序汇编成册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及各项制度和作业文件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）、</w:t>
            </w:r>
            <w:r w:rsidR="006820C6" w:rsidRPr="003F1800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A704D7" w:rsidRPr="003F1800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法律法规和标准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：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名称、版本、编号、负责部门，明确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记录保存期限；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查文件发放和资料发放回收登记表：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下发管理手册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法律法规和标准清单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6D1BC5" w:rsidRPr="003F1800">
              <w:rPr>
                <w:rFonts w:ascii="楷体" w:eastAsia="楷体" w:hAnsi="楷体" w:cs="宋体" w:hint="eastAsia"/>
                <w:sz w:val="24"/>
                <w:szCs w:val="24"/>
              </w:rPr>
              <w:t>发放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记录，各相关人员均领取；</w:t>
            </w:r>
          </w:p>
          <w:p w:rsidR="00FE673C" w:rsidRPr="003F1800" w:rsidRDefault="0000646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现场查看：文件和资料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分类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归档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、编目，便于检索，保管正常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，抽查</w:t>
            </w:r>
            <w:r w:rsidR="003B07D4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内审报告、采购计划、巡查表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、产品检验记录等记录清楚，无随意乱涂改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20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建立并执行《内部审核控制程序》，并能按标准规定对内部审核的策划、实施、人员安排与资质、内部审核的记录、不符合项的分析与验证，以及审核的结论等开展内部审核。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由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组织内部审核，一般每年至少进行一次内部审核，抽查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>最近一次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内部审核情况：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内审日期2021.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E673C" w:rsidRPr="003F1800" w:rsidRDefault="000628F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查2021年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年度内部审核计划：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内容已包括了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审核组、要求、审核安排，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审核目的、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审核部门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范围、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依据、要求、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  <w:r w:rsidR="005213FF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，审批: 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5213FF" w:rsidRPr="003F1800" w:rsidRDefault="005213FF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员任命书：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审核组长：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，成员：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>A组：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   B组：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崔芹芹</w:t>
            </w:r>
            <w:r w:rsidR="00862823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B85E59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提供了《内审检查表》，其中包括总经理/管理者代表、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办公室、供销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4D0464" w:rsidRPr="003F1800">
              <w:rPr>
                <w:rFonts w:ascii="楷体" w:eastAsia="楷体" w:hAnsi="楷体" w:cs="宋体" w:hint="eastAsia"/>
                <w:sz w:val="24"/>
                <w:szCs w:val="24"/>
              </w:rPr>
              <w:t>、生产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、质检部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个一般不符合项，明确不符合标准条款和负责部门，开具不合格项报告：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1项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B85E59" w:rsidRPr="003F1800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3条款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不符合项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部门确认不合格，并进行原因分析和整改，有记录并对整改效果进行验证，已关闭。</w:t>
            </w:r>
          </w:p>
          <w:p w:rsidR="00AA6B46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6B4B8D" w:rsidRPr="003F1800">
              <w:rPr>
                <w:rFonts w:ascii="楷体" w:eastAsia="楷体" w:hAnsi="楷体" w:cs="宋体" w:hint="eastAsia"/>
                <w:sz w:val="24"/>
                <w:szCs w:val="24"/>
              </w:rPr>
              <w:t>《内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部管理体系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报告》，对现场审核进行了综述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、不合格情况及纠正措施要求，审核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结论为：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管理体系符合标准要求，运行实施有效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F1800" w:rsidRDefault="004F493F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 审批：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春建，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155674" w:rsidRPr="003F1800" w:rsidRDefault="00FA415D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91A4D78" wp14:editId="111ADE2C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13335</wp:posOffset>
                  </wp:positionV>
                  <wp:extent cx="2230120" cy="2978150"/>
                  <wp:effectExtent l="0" t="0" r="0" b="0"/>
                  <wp:wrapNone/>
                  <wp:docPr id="3" name="图片 3" descr="E:\360安全云盘同步版\国标联合审核\202111\山东滨德电力设备有限公司\新建文件夹\扫描全能王 2021-11-13 15.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1\山东滨德电力设备有限公司\新建文件夹\扫描全能王 2021-11-13 15.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297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800"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E4D96C" wp14:editId="5475DFD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76835</wp:posOffset>
                  </wp:positionV>
                  <wp:extent cx="2172335" cy="2971800"/>
                  <wp:effectExtent l="0" t="0" r="0" b="0"/>
                  <wp:wrapNone/>
                  <wp:docPr id="2" name="图片 2" descr="E:\360安全云盘同步版\国标联合审核\202111\山东滨德电力设备有限公司\新建文件夹\扫描全能王 2021-11-13 15.0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滨德电力设备有限公司\新建文件夹\扫描全能王 2021-11-13 15.0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34"/>
        </w:trPr>
        <w:tc>
          <w:tcPr>
            <w:tcW w:w="1809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B3665A" w:rsidRPr="003F1800" w:rsidRDefault="00B3665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E673C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66F6"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通过定期抽查各部门、车间对体系文件的执行情况、法律法规的遵循情况、目标、指标的完成情况等</w:t>
            </w:r>
            <w:r w:rsidR="006C36FE" w:rsidRPr="003F1800">
              <w:rPr>
                <w:rFonts w:ascii="楷体" w:eastAsia="楷体" w:hAnsi="楷体" w:cs="宋体" w:hint="eastAsia"/>
                <w:sz w:val="24"/>
                <w:szCs w:val="24"/>
              </w:rPr>
              <w:t>，通过内审、协助领导进行管理评审，对管理体系的符合性、有效性进行监视。</w:t>
            </w:r>
          </w:p>
          <w:p w:rsidR="006C36FE" w:rsidRPr="003F1800" w:rsidRDefault="006C36F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B3665A" w:rsidRPr="00B3665A">
              <w:rPr>
                <w:rFonts w:ascii="楷体" w:eastAsia="楷体" w:hAnsi="楷体" w:cs="宋体" w:hint="eastAsia"/>
                <w:sz w:val="24"/>
                <w:szCs w:val="24"/>
              </w:rPr>
              <w:t>目标考核记录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、“</w:t>
            </w:r>
            <w:r w:rsidR="00B3665A" w:rsidRPr="00B3665A">
              <w:rPr>
                <w:rFonts w:ascii="楷体" w:eastAsia="楷体" w:hAnsi="楷体" w:cs="宋体" w:hint="eastAsia"/>
                <w:sz w:val="24"/>
                <w:szCs w:val="24"/>
              </w:rPr>
              <w:t>质量目标完成情况统计</w:t>
            </w:r>
            <w:r w:rsidR="00B3665A" w:rsidRPr="00B3665A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，2021.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对公司及各部门质量目标完成情况进行了考核，能完成。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122"/>
        </w:trPr>
        <w:tc>
          <w:tcPr>
            <w:tcW w:w="1809" w:type="dxa"/>
          </w:tcPr>
          <w:p w:rsidR="00762915" w:rsidRPr="003F1800" w:rsidRDefault="00762915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3F1800" w:rsidRDefault="00762915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FE673C" w:rsidRPr="003F1800" w:rsidRDefault="006B1DB0" w:rsidP="00FA415D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组织确定的分析与评价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产品监视和测量结果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供方绩效（合格供方评价每年1次）；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顾客满意度调查（每年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次、数据统计分析）；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目标完成情况（各部门月查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）；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不合格品情况；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日常检查（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公司规章制度及各项管理规定检查）；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采购及时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率检查； </w:t>
            </w:r>
          </w:p>
          <w:p w:rsidR="00FE673C" w:rsidRPr="003F1800" w:rsidRDefault="00A22E3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交付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完成情况检查；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内审和管理评审年度检查；</w:t>
            </w:r>
          </w:p>
          <w:p w:rsidR="006E3185" w:rsidRPr="003F1800" w:rsidRDefault="00FE673C" w:rsidP="00FA415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查自公司管理体系运行以来，通过对管理目标的状态评价产品</w:t>
            </w:r>
            <w:r w:rsidR="00A22E30" w:rsidRPr="003F1800">
              <w:rPr>
                <w:rFonts w:ascii="楷体" w:eastAsia="楷体" w:hAnsi="楷体" w:cs="宋体" w:hint="eastAsia"/>
                <w:sz w:val="24"/>
                <w:szCs w:val="24"/>
              </w:rPr>
              <w:t>和服务的符合性良好；对顾客满意度评价为达到目标要求；外部供方及时沟通处理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和质量经分析均满足要求，绩效良好。通过内审评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审公司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418" w:type="dxa"/>
          </w:tcPr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F1800">
              <w:rPr>
                <w:rFonts w:ascii="楷体" w:eastAsia="楷体" w:hAnsi="楷体" w:hint="eastAsia"/>
                <w:szCs w:val="24"/>
              </w:rPr>
              <w:t>O</w:t>
            </w:r>
            <w:r w:rsidRPr="003F1800">
              <w:rPr>
                <w:rFonts w:ascii="楷体" w:eastAsia="楷体" w:hAnsi="楷体"/>
                <w:szCs w:val="24"/>
              </w:rPr>
              <w:t>K</w:t>
            </w: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</w:tbl>
    <w:p w:rsidR="002C60B0" w:rsidRPr="003F1800" w:rsidRDefault="003A62C3">
      <w:pPr>
        <w:rPr>
          <w:rFonts w:ascii="楷体" w:eastAsia="楷体" w:hAnsi="楷体"/>
        </w:rPr>
      </w:pPr>
      <w:r w:rsidRPr="003F1800"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Pr="003F1800" w:rsidRDefault="003A62C3">
      <w:pPr>
        <w:pStyle w:val="a7"/>
        <w:rPr>
          <w:rFonts w:ascii="楷体" w:eastAsia="楷体" w:hAnsi="楷体"/>
        </w:rPr>
      </w:pPr>
      <w:r w:rsidRPr="003F1800">
        <w:rPr>
          <w:rFonts w:ascii="楷体" w:eastAsia="楷体" w:hAnsi="楷体" w:hint="eastAsia"/>
        </w:rPr>
        <w:t>说明：不符合标注N</w:t>
      </w:r>
    </w:p>
    <w:sectPr w:rsidR="002C60B0" w:rsidRPr="003F1800" w:rsidSect="006A2E2A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E5" w:rsidRDefault="00F129E5">
      <w:r>
        <w:separator/>
      </w:r>
    </w:p>
  </w:endnote>
  <w:endnote w:type="continuationSeparator" w:id="0">
    <w:p w:rsidR="00F129E5" w:rsidRDefault="00F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15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15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E5" w:rsidRDefault="00F129E5">
      <w:r>
        <w:separator/>
      </w:r>
    </w:p>
  </w:footnote>
  <w:footnote w:type="continuationSeparator" w:id="0">
    <w:p w:rsidR="00F129E5" w:rsidRDefault="00F1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8B0BD8" wp14:editId="2D5258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F129E5" w:rsidP="00EC075B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42DC0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415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4659</TotalTime>
  <Pages>7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1384</cp:revision>
  <dcterms:created xsi:type="dcterms:W3CDTF">2015-06-17T12:51:00Z</dcterms:created>
  <dcterms:modified xsi:type="dcterms:W3CDTF">2021-11-21T01:33:00Z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