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商洛鑫圣源新型保温建材有限公司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before="120" w:line="32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隔热和隔音材料制造：原料→配比搅拌制砂浆→裁切XPS保温棉板→铺设外侧粘接层→铺设保温棉板→铺设内侧粘接层→铺设保温过渡层→铺设外侧粘接加强层→养护→切割→成品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before="120"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关键过程： 配比搅拌过程，相关控制参数名称：配比、时间 </w:t>
            </w:r>
          </w:p>
          <w:p>
            <w:pPr>
              <w:spacing w:before="120"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需要确认的过程（工序）：配比搅拌过程 </w:t>
            </w:r>
          </w:p>
          <w:p>
            <w:pPr>
              <w:spacing w:before="120"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查看需要确认的过程控制：</w:t>
            </w:r>
          </w:p>
          <w:p>
            <w:pPr>
              <w:spacing w:before="120"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过程确认相关记录名称：《特殊(关键)过程确认表》</w:t>
            </w:r>
          </w:p>
          <w:p>
            <w:pPr>
              <w:pStyle w:val="6"/>
            </w:pPr>
            <w:r>
              <w:rPr>
                <w:rFonts w:hint="eastAsia"/>
                <w:lang w:val="en-US" w:eastAsia="zh-CN"/>
              </w:rPr>
              <w:t>产品质量不合格，导致客户要求得不到满足，针对生产作业人员的能力、生产使用设备、质量要求、作业指导书、工作环境等进行确认，严格遵守客户订单要求，针对订单要求进行评审，后期进行产品测试，保障输出符合要求</w:t>
            </w:r>
            <w:r>
              <w:rPr>
                <w:rFonts w:hint="default"/>
                <w:lang w:val="en-US" w:eastAsia="zh-CN"/>
              </w:rPr>
              <w:t>操作过程制定《作业指导书》、《操作规程》，提供《生产过程控制记录》对特殊工序进行过程监控，生产结束后对成品进行成品检测，检测合格方能入库销售。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before="120" w:line="32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《环境因素识别和评价表》，对本部门生产和办公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生产过程（固废、噪声排放、火灾、电能消耗、粉尘排放、噪声超标）、设备维修（废弃丢弃、漏油、更换新部件）等环境因素。</w:t>
            </w:r>
          </w:p>
          <w:p>
            <w:pPr>
              <w:spacing w:before="120" w:line="32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查到：《重要环境因素清单》，公司涉及重要环境因素：火灾、废气、噪声、固体废弃物的排放、废水排放等，本部门涉及的重要环境因素：均有涉及。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before="120" w:line="32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《危险源辨识及风险评价表》，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部门：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生产技术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部，识别了办公和生产过程中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垃圾不理不及时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可能导致的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疾病传染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人离开未断电源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可能导致的火灾、生产过程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违规操作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可能导致的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人身伤害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等危险源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pacing w:before="120" w:line="32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查到：《不可接受风险清单》，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公司涉及重大危险源：潜在火灾、触电、机械伤害、职业病伤害，本部门涉及的不可接受风险：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均有涉及。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before="120" w:line="32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Q：《中华人民共和国产品质量法》《DBJ61/T 152-2018 建筑节能与结构一体化 隔热和隔音材料制造应用技术规程》《中华人民共和国安全生产法》《中华人民共和国劳动合同法实施条例》</w:t>
            </w:r>
          </w:p>
          <w:p>
            <w:pPr>
              <w:spacing w:before="120" w:line="320" w:lineRule="exact"/>
              <w:jc w:val="lef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、《消防条例》、《污水综合排放标准》、《大气污染物排放标准》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等</w:t>
            </w:r>
          </w:p>
          <w:p>
            <w:pPr>
              <w:spacing w:before="120" w:line="32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235585</wp:posOffset>
                  </wp:positionV>
                  <wp:extent cx="2644140" cy="2715260"/>
                  <wp:effectExtent l="0" t="0" r="10160" b="254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271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检验项目：尺寸、外观、面密度、抗冲击性、抗弯荷载、耐冻融、热阻</w:t>
            </w: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检验要求如图：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无</w:t>
            </w:r>
            <w:r>
              <w:rPr>
                <w:rFonts w:hint="eastAsia"/>
                <w:b/>
                <w:bCs/>
                <w:sz w:val="20"/>
              </w:rPr>
              <w:t>型</w:t>
            </w:r>
            <w:r>
              <w:rPr>
                <w:rFonts w:hint="eastAsia"/>
                <w:b/>
                <w:sz w:val="20"/>
              </w:rPr>
              <w:t>式试验要求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</w:rPr>
              <w:t>有型式试验</w:t>
            </w:r>
            <w:r>
              <w:rPr>
                <w:rFonts w:hint="eastAsia"/>
                <w:b/>
                <w:sz w:val="20"/>
                <w:lang w:val="en-US" w:eastAsia="zh-CN"/>
              </w:rPr>
              <w:t>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227965</wp:posOffset>
                  </wp:positionV>
                  <wp:extent cx="678180" cy="304800"/>
                  <wp:effectExtent l="0" t="0" r="7620" b="0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2021年10月29日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151765</wp:posOffset>
                  </wp:positionV>
                  <wp:extent cx="678180" cy="304800"/>
                  <wp:effectExtent l="0" t="0" r="7620" b="0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2021年10月29日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7011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szCs w:val="2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2021-11-03T07:27:10Z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