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1097-2021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</w:rPr>
        <w:t>21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认证审核资料清单（再认证）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成都声立德克技术有限公司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2021年12月02日 上午至2021年12月02日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3至8项，如企业</w:t>
            </w:r>
            <w:r>
              <w:rPr>
                <w:rFonts w:hint="eastAsia"/>
                <w:color w:val="FF0000"/>
              </w:rPr>
              <w:t>有变化需提供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④凡企业提供的资质均需企业盖章。⑤企业营业执照、法律法规要求的相关资质证明等有变化需提供。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303.9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ISC-A-01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-16.3pt;margin-top:6.9pt;height:0pt;width:518.9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DF2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240</Words>
  <Characters>1373</Characters>
  <Lines>11</Lines>
  <Paragraphs>3</Paragraphs>
  <TotalTime>644</TotalTime>
  <ScaleCrop>false</ScaleCrop>
  <LinksUpToDate>false</LinksUpToDate>
  <CharactersWithSpaces>1610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2021-12-02T06:21:59Z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