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826"/>
        <w:gridCol w:w="2159"/>
        <w:gridCol w:w="148"/>
        <w:gridCol w:w="1377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668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重庆尚久实业有限公司</w:t>
            </w:r>
            <w:bookmarkEnd w:id="7"/>
          </w:p>
        </w:tc>
        <w:tc>
          <w:tcPr>
            <w:tcW w:w="1377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12.03.00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9" w:name="审核范围"/>
            <w:r>
              <w:rPr>
                <w:rFonts w:hint="eastAsia"/>
                <w:b w:val="0"/>
                <w:bCs/>
                <w:sz w:val="22"/>
                <w:szCs w:val="22"/>
              </w:rPr>
              <w:t>新型防水材料的生产</w:t>
            </w:r>
            <w:bookmarkEnd w:id="9"/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307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新型防水材料的生产流程：采购——检验——配料（投料）——搅拌——检验——包装</w:t>
            </w:r>
          </w:p>
          <w:p>
            <w:pPr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关键过程：配料、搅拌工序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生产过程过程的风险：外观、干燥时间、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固含量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拉伸强度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断裂伸长率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 xml:space="preserve">粘结强度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抗渗透性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不能达到产品标准要求。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控制措施：设备操作规程、配料表，作业指导书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JC/T2090-2011聚合物水泥防水浆料、GB/T23445-2009聚合物水泥防水涂料等标准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试验项目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：外观、干燥时间、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固含量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拉伸强度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断裂伸长率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粘结强度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抗渗透性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有型式试验要求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：正常生产时，每年进行一次。</w:t>
            </w:r>
            <w:bookmarkStart w:id="10" w:name="_GoBack"/>
            <w:bookmarkEnd w:id="1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209550</wp:posOffset>
                  </wp:positionV>
                  <wp:extent cx="422910" cy="320040"/>
                  <wp:effectExtent l="0" t="0" r="3810" b="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2021年10月26日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127000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2021年10月26日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EBF36D9"/>
    <w:rsid w:val="58AD30F6"/>
    <w:rsid w:val="5A211E55"/>
    <w:rsid w:val="5CDE1A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zx</cp:lastModifiedBy>
  <dcterms:modified xsi:type="dcterms:W3CDTF">2021-10-26T07:00:54Z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